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74C2" w14:textId="77777777" w:rsidR="00A4778B" w:rsidRPr="00F067E5" w:rsidRDefault="00A4778B" w:rsidP="00F067E5">
      <w:pPr>
        <w:spacing w:line="240" w:lineRule="auto"/>
        <w:rPr>
          <w:rFonts w:cs="Times New Roman"/>
          <w:szCs w:val="24"/>
        </w:rPr>
      </w:pPr>
    </w:p>
    <w:p w14:paraId="2B492632" w14:textId="321E72A3" w:rsidR="00A4778B" w:rsidRPr="005370B8" w:rsidRDefault="00716972" w:rsidP="005370B8">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5370B8" w:rsidRPr="005370B8">
            <w:rPr>
              <w:rStyle w:val="SupenEncabezadoCar"/>
              <w:b/>
              <w:bCs/>
            </w:rPr>
            <w:t>SP-A-290-2025</w:t>
          </w:r>
        </w:sdtContent>
      </w:sdt>
    </w:p>
    <w:p w14:paraId="304B1F69" w14:textId="77777777" w:rsidR="003262D5" w:rsidRPr="00F067E5" w:rsidRDefault="003262D5" w:rsidP="00F067E5">
      <w:pPr>
        <w:spacing w:after="160" w:line="240" w:lineRule="auto"/>
        <w:rPr>
          <w:rFonts w:cs="Times New Roman"/>
          <w:szCs w:val="24"/>
        </w:rPr>
      </w:pPr>
    </w:p>
    <w:p w14:paraId="4D00D16A" w14:textId="109045D6" w:rsidR="00291B81" w:rsidRPr="00F067E5" w:rsidRDefault="00291B81" w:rsidP="00F067E5">
      <w:pPr>
        <w:spacing w:line="240" w:lineRule="auto"/>
        <w:jc w:val="both"/>
        <w:rPr>
          <w:rFonts w:cs="Times New Roman"/>
          <w:szCs w:val="24"/>
        </w:rPr>
      </w:pPr>
      <w:r w:rsidRPr="00F067E5">
        <w:rPr>
          <w:rFonts w:cs="Times New Roman"/>
          <w:szCs w:val="24"/>
        </w:rPr>
        <w:t xml:space="preserve">Superintendencia de Pensiones, al ser las </w:t>
      </w:r>
      <w:r w:rsidR="005370B8">
        <w:rPr>
          <w:rFonts w:cs="Times New Roman"/>
          <w:szCs w:val="24"/>
        </w:rPr>
        <w:t>once</w:t>
      </w:r>
      <w:r w:rsidRPr="00F067E5">
        <w:rPr>
          <w:rFonts w:cs="Times New Roman"/>
          <w:szCs w:val="24"/>
        </w:rPr>
        <w:t xml:space="preserve"> horas y </w:t>
      </w:r>
      <w:r w:rsidR="005370B8">
        <w:rPr>
          <w:rFonts w:cs="Times New Roman"/>
          <w:szCs w:val="24"/>
        </w:rPr>
        <w:t>cincuenta</w:t>
      </w:r>
      <w:r w:rsidRPr="00F067E5">
        <w:rPr>
          <w:rFonts w:cs="Times New Roman"/>
          <w:szCs w:val="24"/>
        </w:rPr>
        <w:t xml:space="preserve"> minutos del día </w:t>
      </w:r>
      <w:r w:rsidR="005370B8">
        <w:rPr>
          <w:rFonts w:cs="Times New Roman"/>
          <w:szCs w:val="24"/>
        </w:rPr>
        <w:t>veinticinco</w:t>
      </w:r>
      <w:r w:rsidRPr="00F067E5">
        <w:rPr>
          <w:rFonts w:cs="Times New Roman"/>
          <w:szCs w:val="24"/>
        </w:rPr>
        <w:t xml:space="preserve"> de </w:t>
      </w:r>
      <w:r w:rsidR="005370B8">
        <w:rPr>
          <w:rFonts w:cs="Times New Roman"/>
          <w:szCs w:val="24"/>
        </w:rPr>
        <w:t>noviembre</w:t>
      </w:r>
      <w:r w:rsidRPr="00F067E5">
        <w:rPr>
          <w:rFonts w:cs="Times New Roman"/>
          <w:szCs w:val="24"/>
        </w:rPr>
        <w:t xml:space="preserve"> de 20</w:t>
      </w:r>
      <w:r w:rsidR="00733397" w:rsidRPr="00F067E5">
        <w:rPr>
          <w:rFonts w:cs="Times New Roman"/>
          <w:szCs w:val="24"/>
        </w:rPr>
        <w:t>2</w:t>
      </w:r>
      <w:r w:rsidR="67030777" w:rsidRPr="00F067E5">
        <w:rPr>
          <w:rFonts w:cs="Times New Roman"/>
          <w:szCs w:val="24"/>
        </w:rPr>
        <w:t>5</w:t>
      </w:r>
      <w:r w:rsidRPr="00F067E5">
        <w:rPr>
          <w:rFonts w:cs="Times New Roman"/>
          <w:szCs w:val="24"/>
        </w:rPr>
        <w:t>.</w:t>
      </w:r>
    </w:p>
    <w:p w14:paraId="336EBA48" w14:textId="77777777" w:rsidR="00291B81" w:rsidRPr="00F067E5" w:rsidRDefault="00291B81" w:rsidP="00F067E5">
      <w:pPr>
        <w:spacing w:line="240" w:lineRule="auto"/>
        <w:rPr>
          <w:rFonts w:cs="Times New Roman"/>
          <w:szCs w:val="24"/>
        </w:rPr>
      </w:pPr>
    </w:p>
    <w:p w14:paraId="39ED2FC7" w14:textId="77777777" w:rsidR="00291B81" w:rsidRPr="00F067E5" w:rsidRDefault="007712D3" w:rsidP="00F067E5">
      <w:pPr>
        <w:spacing w:line="240" w:lineRule="auto"/>
        <w:jc w:val="center"/>
        <w:rPr>
          <w:rFonts w:cs="Times New Roman"/>
          <w:b/>
          <w:bCs/>
          <w:szCs w:val="24"/>
        </w:rPr>
      </w:pPr>
      <w:r w:rsidRPr="00F067E5">
        <w:rPr>
          <w:rFonts w:cs="Times New Roman"/>
          <w:b/>
          <w:bCs/>
          <w:szCs w:val="24"/>
        </w:rPr>
        <w:t>CONSIDERANDO</w:t>
      </w:r>
    </w:p>
    <w:p w14:paraId="5B4EB40B" w14:textId="77777777" w:rsidR="00733397" w:rsidRPr="00F067E5" w:rsidRDefault="00733397" w:rsidP="00F067E5">
      <w:pPr>
        <w:spacing w:line="240" w:lineRule="auto"/>
        <w:jc w:val="center"/>
        <w:rPr>
          <w:rFonts w:cs="Times New Roman"/>
          <w:b/>
          <w:bCs/>
          <w:szCs w:val="24"/>
        </w:rPr>
      </w:pPr>
    </w:p>
    <w:p w14:paraId="5B404D0E" w14:textId="77777777" w:rsidR="00704372" w:rsidRPr="00F067E5" w:rsidRDefault="00F82CD2"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El párrafo segundo del artículo 33 de la ley N° 7523, Régimen Privado de Pensiones Complementarias, dispone que la Superintendencia de Pensiones (SUPEN)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6A85686A" w14:textId="77777777" w:rsidR="00704372" w:rsidRPr="00F067E5" w:rsidRDefault="00704372" w:rsidP="00F067E5">
      <w:pPr>
        <w:pStyle w:val="Prrafodelista"/>
        <w:spacing w:line="240" w:lineRule="auto"/>
        <w:ind w:left="709"/>
        <w:jc w:val="both"/>
        <w:rPr>
          <w:rFonts w:cs="Times New Roman"/>
          <w:szCs w:val="24"/>
        </w:rPr>
      </w:pPr>
    </w:p>
    <w:p w14:paraId="3C3C1597" w14:textId="0012C111" w:rsidR="006B06F9" w:rsidRPr="00F067E5" w:rsidRDefault="00704372"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El inciso f) del artículo 38 de la ley antes citada, señala que corresponde al Superintendente de Pensiones adoptar todas las acciones necesarias para el cumplimiento efectivo de las funciones de autorización, regulación, supervisión y fiscalización establecidas en la ley.</w:t>
      </w:r>
    </w:p>
    <w:p w14:paraId="761EF2EA" w14:textId="77777777" w:rsidR="00704372" w:rsidRPr="00F067E5" w:rsidRDefault="00704372" w:rsidP="00F067E5">
      <w:pPr>
        <w:spacing w:line="240" w:lineRule="auto"/>
        <w:jc w:val="both"/>
        <w:rPr>
          <w:rFonts w:cs="Times New Roman"/>
          <w:szCs w:val="24"/>
        </w:rPr>
      </w:pPr>
    </w:p>
    <w:p w14:paraId="7A35778B" w14:textId="7CBE0BF3" w:rsidR="006B06F9" w:rsidRPr="00F067E5" w:rsidRDefault="001010B3"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Que se realizó una revisión del acuerdo SUGEF 2-10, Reglamento sobre Administración Integral de Riesgos, así como de la documentación asociada con la remisión de reportes de eventos e incidentes de riesgo operativo a la SUGEF, con el propósito de identificar los lineamientos y principios fundamentales aplicables para la adecuada gestión de riesgos operativos en el contexto de las entidades reguladas.</w:t>
      </w:r>
    </w:p>
    <w:p w14:paraId="5B99082A" w14:textId="77777777" w:rsidR="001010B3" w:rsidRPr="00F067E5" w:rsidRDefault="001010B3" w:rsidP="00F067E5">
      <w:pPr>
        <w:spacing w:line="240" w:lineRule="auto"/>
        <w:jc w:val="both"/>
        <w:rPr>
          <w:rFonts w:cs="Times New Roman"/>
          <w:szCs w:val="24"/>
        </w:rPr>
      </w:pPr>
    </w:p>
    <w:p w14:paraId="55F59667" w14:textId="32674E20" w:rsidR="00B67B06" w:rsidRPr="00F067E5" w:rsidRDefault="00A44E41"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Que,</w:t>
      </w:r>
      <w:r w:rsidR="00AE4055" w:rsidRPr="00F067E5">
        <w:rPr>
          <w:rFonts w:cs="Times New Roman"/>
          <w:szCs w:val="24"/>
        </w:rPr>
        <w:t xml:space="preserve"> conforme al Reglamento sobre Administración Integral de Riesgos, SUGEF 2-10, los incidentes de riesgo operativo se clasifican en siete categorías: (1) fraude interno, (2) fraude externo, (3) relaciones laborales y seguridad en el puesto de trabajo, (4) clientes, productos y prácticas empresariales, (5) daños a activos materiales, (6) interrupción del negocio, y (7) fallos en los sistemas, ejecución, entrega y gestión de procesos.</w:t>
      </w:r>
    </w:p>
    <w:p w14:paraId="4833959D" w14:textId="77777777" w:rsidR="00B67B06" w:rsidRPr="00F067E5" w:rsidRDefault="00B67B06" w:rsidP="00F067E5">
      <w:pPr>
        <w:pStyle w:val="Prrafodelista"/>
        <w:spacing w:line="240" w:lineRule="auto"/>
        <w:rPr>
          <w:rFonts w:cs="Times New Roman"/>
          <w:szCs w:val="24"/>
        </w:rPr>
      </w:pPr>
    </w:p>
    <w:p w14:paraId="793DA03F" w14:textId="77777777" w:rsidR="009C7338" w:rsidRPr="00F067E5" w:rsidRDefault="00B67B06"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De acuerdo con el Reglamento de Riesgos y el Reglamento de Gobierno Corporativo, el Órgano de Dirección y la Alta Gerencia deben velar porque el marco de gestión para el riesgo operativo esté integrado, tanto desde el aspecto formal como en la práctica, al proceso de administración integral de riesgos de la entidad; asimismo, que incorpore y atienda oportunamente las recomendaciones derivadas del proceso supervisor.</w:t>
      </w:r>
    </w:p>
    <w:p w14:paraId="67E15D40" w14:textId="77777777" w:rsidR="009C7338" w:rsidRPr="00F067E5" w:rsidRDefault="009C7338" w:rsidP="00F067E5">
      <w:pPr>
        <w:pStyle w:val="Prrafodelista"/>
        <w:spacing w:line="240" w:lineRule="auto"/>
        <w:rPr>
          <w:rFonts w:cs="Times New Roman"/>
          <w:szCs w:val="24"/>
        </w:rPr>
      </w:pPr>
    </w:p>
    <w:p w14:paraId="4224E45F" w14:textId="77777777" w:rsidR="00424C39" w:rsidRPr="00F067E5" w:rsidRDefault="009C7338"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 xml:space="preserve">De acuerdo con el marco de supervisión y evaluación de riesgos y el Acuerdo SUPEN 5-17 Reglamento de Riesgos, el riesgo operativo es transversal a la organización, de manera que cualquier área de la entidad puede generar incidentes de riesgo operativo, </w:t>
      </w:r>
      <w:r w:rsidRPr="00F067E5">
        <w:rPr>
          <w:rFonts w:cs="Times New Roman"/>
          <w:szCs w:val="24"/>
        </w:rPr>
        <w:lastRenderedPageBreak/>
        <w:t>lo que requiere que la estrategia para su gestión involucre a todo el personal de la entidad. Además, considerando que el entorno está en constante cambio, el Órgano de Dirección y la Alta Gerencia deben velar porque el marco para gestionar el riesgo operativo sea robusto en relación con la idoneidad y capacitación del personal involucrado y los sistemas de información.</w:t>
      </w:r>
    </w:p>
    <w:p w14:paraId="72BF472C" w14:textId="77777777" w:rsidR="00424C39" w:rsidRPr="00F067E5" w:rsidRDefault="00424C39" w:rsidP="00F067E5">
      <w:pPr>
        <w:pStyle w:val="Prrafodelista"/>
        <w:spacing w:line="240" w:lineRule="auto"/>
        <w:rPr>
          <w:rFonts w:cs="Times New Roman"/>
          <w:szCs w:val="24"/>
        </w:rPr>
      </w:pPr>
    </w:p>
    <w:p w14:paraId="3E08011E" w14:textId="77777777" w:rsidR="00DE2F7D" w:rsidRPr="00F067E5" w:rsidRDefault="00424C39"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El artículo 49 del Acuerdo CONASSIF 4-16 Reglamento de Gobierno Corporativo, establece que los superintendentes podrán emitir, mediante resolución razonada, los lineamientos o acuerdos necesarios para la aplicación de las disposiciones contenidas en dicho Reglamento. En este sentido, con el objetivo de cuantificar los riesgos operativos que puedan afectar los fondos de pensiones y el fondo de capitalización laboral, es necesario definir una estructura de datos sobre los incidentes de riesgo operativo en las entidades, contribuyendo así al fortalecimiento de la gobernanza y la gestión de riesgos en las entidades supervisadas.</w:t>
      </w:r>
    </w:p>
    <w:p w14:paraId="37134377" w14:textId="77777777" w:rsidR="00DE2F7D" w:rsidRPr="00F067E5" w:rsidRDefault="00DE2F7D" w:rsidP="00F067E5">
      <w:pPr>
        <w:pStyle w:val="Prrafodelista"/>
        <w:spacing w:line="240" w:lineRule="auto"/>
        <w:rPr>
          <w:rFonts w:cs="Times New Roman"/>
          <w:szCs w:val="24"/>
        </w:rPr>
      </w:pPr>
    </w:p>
    <w:p w14:paraId="305B4A1D" w14:textId="77777777" w:rsidR="00BA2152" w:rsidRPr="00F067E5" w:rsidRDefault="00DE2F7D"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La adecuada gestión del riesgo operativo es fundamental para la estabilidad y el funcionamiento eficiente de las entidades reguladas, por lo que es indispensable establecer un marco normativo que facilite el monitoreo y la evaluación continua de los incidentes de riesgo operativo que puedan impactar los fondos de pensiones y de capitalización laboral.</w:t>
      </w:r>
    </w:p>
    <w:p w14:paraId="30FDA0D8" w14:textId="77777777" w:rsidR="00BA2152" w:rsidRPr="00F067E5" w:rsidRDefault="00BA2152" w:rsidP="00F067E5">
      <w:pPr>
        <w:pStyle w:val="Prrafodelista"/>
        <w:spacing w:line="240" w:lineRule="auto"/>
        <w:rPr>
          <w:rFonts w:cs="Times New Roman"/>
          <w:szCs w:val="24"/>
        </w:rPr>
      </w:pPr>
    </w:p>
    <w:p w14:paraId="2FB8EB37" w14:textId="77777777" w:rsidR="00681E79" w:rsidRPr="00F067E5" w:rsidRDefault="00BA2152"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Los fondos de pensión administran los ahorros de los afiliados a largo plazo, por lo que los sistemas de información, controles internos y procesos operativos podrían tener un impacto significativo en el riesgo operativo, lo cual justifica la necesidad de contar con un conjunto de requerimientos para generar una base de datos estandarizada sobre incidentes de riesgo operativo, lo cual permitirá a las entidades desarrollar metodologías de cuantificación y análisis de riesgos que contribuyan a la toma de decisiones informadas y preventivas.</w:t>
      </w:r>
    </w:p>
    <w:p w14:paraId="72279FF1" w14:textId="77777777" w:rsidR="00681E79" w:rsidRPr="00F067E5" w:rsidRDefault="00681E79" w:rsidP="00F067E5">
      <w:pPr>
        <w:pStyle w:val="Prrafodelista"/>
        <w:spacing w:line="240" w:lineRule="auto"/>
        <w:rPr>
          <w:rFonts w:cs="Times New Roman"/>
          <w:szCs w:val="24"/>
        </w:rPr>
      </w:pPr>
    </w:p>
    <w:p w14:paraId="54500602" w14:textId="77777777" w:rsidR="00795B2C" w:rsidRPr="00F067E5" w:rsidRDefault="00681E79" w:rsidP="00F067E5">
      <w:pPr>
        <w:pStyle w:val="Prrafodelista"/>
        <w:numPr>
          <w:ilvl w:val="0"/>
          <w:numId w:val="3"/>
        </w:numPr>
        <w:spacing w:line="240" w:lineRule="auto"/>
        <w:ind w:left="709" w:hanging="425"/>
        <w:jc w:val="both"/>
        <w:rPr>
          <w:rFonts w:cs="Times New Roman"/>
          <w:szCs w:val="24"/>
        </w:rPr>
      </w:pPr>
      <w:r w:rsidRPr="00F067E5">
        <w:rPr>
          <w:rFonts w:cs="Times New Roman"/>
          <w:szCs w:val="24"/>
        </w:rPr>
        <w:t>La adopción de mejores prácticas internacionales en la gestión del riesgo operativo contribuye a la reducción de la exposición a eventos que puedan comprometer la integridad de los fondos de pensión, por lo que es necesario promover una estructura regulatoria que exija a las entidades supervisadas implementar medidas efectivas de control y prevención orientadas con estas mejores prácticas internacionales.</w:t>
      </w:r>
    </w:p>
    <w:p w14:paraId="2ABE9693" w14:textId="77777777" w:rsidR="00795B2C" w:rsidRPr="00F067E5" w:rsidRDefault="00795B2C" w:rsidP="00F067E5">
      <w:pPr>
        <w:pStyle w:val="Prrafodelista"/>
        <w:spacing w:line="240" w:lineRule="auto"/>
        <w:ind w:left="709"/>
        <w:jc w:val="both"/>
        <w:rPr>
          <w:rFonts w:cs="Times New Roman"/>
          <w:szCs w:val="24"/>
        </w:rPr>
      </w:pPr>
    </w:p>
    <w:p w14:paraId="584B00BA" w14:textId="77777777" w:rsidR="00217A7A" w:rsidRDefault="00795B2C" w:rsidP="00217A7A">
      <w:pPr>
        <w:pStyle w:val="Prrafodelista"/>
        <w:numPr>
          <w:ilvl w:val="0"/>
          <w:numId w:val="3"/>
        </w:numPr>
        <w:spacing w:line="240" w:lineRule="auto"/>
        <w:ind w:left="709" w:hanging="425"/>
        <w:jc w:val="both"/>
        <w:rPr>
          <w:rFonts w:cs="Times New Roman"/>
          <w:szCs w:val="24"/>
        </w:rPr>
      </w:pPr>
      <w:r w:rsidRPr="00F067E5">
        <w:rPr>
          <w:rFonts w:cs="Times New Roman"/>
          <w:szCs w:val="24"/>
        </w:rPr>
        <w:t>La información recopilada sobre los incidentes de riesgo operativo será esencial no solo para la valoración y mitigación de dichos riesgos, sino también para facilitar una supervisión efectiva por parte del órgano supervisor, lo que permitirá identificar patrones o tendencias que puedan comprometer el sistema de pensiones.</w:t>
      </w:r>
    </w:p>
    <w:p w14:paraId="6B7AFA3E" w14:textId="77777777" w:rsidR="00217A7A" w:rsidRPr="00217A7A" w:rsidRDefault="00217A7A" w:rsidP="00217A7A">
      <w:pPr>
        <w:pStyle w:val="Prrafodelista"/>
        <w:rPr>
          <w:rFonts w:cs="Times New Roman"/>
          <w:szCs w:val="24"/>
        </w:rPr>
      </w:pPr>
    </w:p>
    <w:p w14:paraId="475BD324" w14:textId="71294BBA" w:rsidR="006B06F9" w:rsidRPr="00217A7A" w:rsidRDefault="006B06F9" w:rsidP="00217A7A">
      <w:pPr>
        <w:pStyle w:val="Prrafodelista"/>
        <w:numPr>
          <w:ilvl w:val="0"/>
          <w:numId w:val="3"/>
        </w:numPr>
        <w:spacing w:line="240" w:lineRule="auto"/>
        <w:ind w:left="709" w:hanging="425"/>
        <w:jc w:val="both"/>
        <w:rPr>
          <w:rFonts w:cs="Times New Roman"/>
          <w:szCs w:val="24"/>
        </w:rPr>
      </w:pPr>
      <w:r w:rsidRPr="00217A7A">
        <w:rPr>
          <w:rFonts w:cs="Times New Roman"/>
          <w:szCs w:val="24"/>
        </w:rPr>
        <w:lastRenderedPageBreak/>
        <w:t>El presente proyecto de acuerdo fue consultado a las entidades Supervisadas mediante el oficio SP-</w:t>
      </w:r>
      <w:r w:rsidR="00092C51" w:rsidRPr="00217A7A">
        <w:rPr>
          <w:rFonts w:cs="Times New Roman"/>
          <w:szCs w:val="24"/>
        </w:rPr>
        <w:t>402</w:t>
      </w:r>
      <w:r w:rsidRPr="00217A7A">
        <w:rPr>
          <w:rFonts w:cs="Times New Roman"/>
          <w:szCs w:val="24"/>
        </w:rPr>
        <w:t xml:space="preserve">-2025 de fecha </w:t>
      </w:r>
      <w:r w:rsidR="00092C51" w:rsidRPr="00217A7A">
        <w:rPr>
          <w:rFonts w:cs="Times New Roman"/>
          <w:szCs w:val="24"/>
        </w:rPr>
        <w:t>06 de mayo</w:t>
      </w:r>
      <w:r w:rsidRPr="00217A7A">
        <w:rPr>
          <w:rFonts w:cs="Times New Roman"/>
          <w:szCs w:val="24"/>
        </w:rPr>
        <w:t xml:space="preserve"> del 2025, por un plazo de 10 días hábiles</w:t>
      </w:r>
      <w:r w:rsidR="00402BA0" w:rsidRPr="00217A7A">
        <w:rPr>
          <w:rFonts w:cs="Times New Roman"/>
          <w:szCs w:val="24"/>
        </w:rPr>
        <w:t xml:space="preserve"> </w:t>
      </w:r>
      <w:r w:rsidR="00402BA0" w:rsidRPr="00217A7A">
        <w:rPr>
          <w:rFonts w:eastAsia="Times New Roman" w:cs="Times New Roman"/>
          <w:color w:val="000000" w:themeColor="text1"/>
        </w:rPr>
        <w:t>y sus observaciones han sido valoradas e incorporadas en este acuerdo</w:t>
      </w:r>
      <w:r w:rsidRPr="00217A7A">
        <w:rPr>
          <w:rFonts w:cs="Times New Roman"/>
          <w:szCs w:val="24"/>
        </w:rPr>
        <w:t>.</w:t>
      </w:r>
    </w:p>
    <w:p w14:paraId="6CE5A80E" w14:textId="77777777" w:rsidR="008A0779" w:rsidRPr="00F067E5" w:rsidRDefault="008A0779" w:rsidP="00F067E5">
      <w:pPr>
        <w:pStyle w:val="Prrafodelista"/>
        <w:spacing w:line="240" w:lineRule="auto"/>
        <w:ind w:left="709"/>
        <w:jc w:val="both"/>
        <w:rPr>
          <w:rFonts w:cs="Times New Roman"/>
          <w:szCs w:val="24"/>
        </w:rPr>
      </w:pPr>
    </w:p>
    <w:p w14:paraId="30923DA4" w14:textId="77777777" w:rsidR="007603FA" w:rsidRPr="00F067E5" w:rsidRDefault="007603FA" w:rsidP="00F067E5">
      <w:pPr>
        <w:pStyle w:val="Prrafodelista"/>
        <w:spacing w:line="240" w:lineRule="auto"/>
        <w:ind w:left="709"/>
        <w:jc w:val="both"/>
        <w:rPr>
          <w:rFonts w:cs="Times New Roman"/>
          <w:szCs w:val="24"/>
        </w:rPr>
      </w:pPr>
    </w:p>
    <w:p w14:paraId="55958154" w14:textId="77777777" w:rsidR="007712D3" w:rsidRPr="00F067E5" w:rsidRDefault="007712D3" w:rsidP="00F067E5">
      <w:pPr>
        <w:spacing w:line="240" w:lineRule="auto"/>
        <w:jc w:val="center"/>
        <w:rPr>
          <w:rFonts w:cs="Times New Roman"/>
          <w:b/>
          <w:bCs/>
          <w:szCs w:val="24"/>
        </w:rPr>
      </w:pPr>
      <w:r w:rsidRPr="00F067E5">
        <w:rPr>
          <w:rFonts w:cs="Times New Roman"/>
          <w:b/>
          <w:bCs/>
          <w:szCs w:val="24"/>
        </w:rPr>
        <w:t>POR TANTO</w:t>
      </w:r>
    </w:p>
    <w:p w14:paraId="638F5093" w14:textId="77777777" w:rsidR="007712D3" w:rsidRPr="00F067E5" w:rsidRDefault="007712D3" w:rsidP="00F067E5">
      <w:pPr>
        <w:spacing w:line="240" w:lineRule="auto"/>
        <w:jc w:val="center"/>
        <w:rPr>
          <w:rFonts w:cs="Times New Roman"/>
          <w:b/>
          <w:bCs/>
          <w:szCs w:val="24"/>
        </w:rPr>
      </w:pPr>
    </w:p>
    <w:p w14:paraId="5EA5318C" w14:textId="77777777" w:rsidR="007603FA" w:rsidRPr="00F067E5" w:rsidRDefault="007603FA" w:rsidP="00F067E5">
      <w:pPr>
        <w:spacing w:line="240" w:lineRule="auto"/>
        <w:jc w:val="center"/>
        <w:rPr>
          <w:rFonts w:cs="Times New Roman"/>
          <w:b/>
          <w:bCs/>
          <w:szCs w:val="24"/>
        </w:rPr>
      </w:pPr>
    </w:p>
    <w:p w14:paraId="512D419F" w14:textId="567F52C0" w:rsidR="007712D3" w:rsidRPr="00F067E5" w:rsidRDefault="00073D27" w:rsidP="00F067E5">
      <w:pPr>
        <w:spacing w:line="240" w:lineRule="auto"/>
        <w:jc w:val="both"/>
        <w:rPr>
          <w:rFonts w:cs="Times New Roman"/>
          <w:szCs w:val="24"/>
        </w:rPr>
      </w:pPr>
      <w:r w:rsidRPr="00F067E5">
        <w:rPr>
          <w:rFonts w:cs="Times New Roman"/>
          <w:szCs w:val="24"/>
        </w:rPr>
        <w:t>Se emite el presente acuerdo acerca del suministro de información de los incidentes de riesgo operativo que se presenten en las entidades reguladas por la Superintendencia de Pensiones:</w:t>
      </w:r>
    </w:p>
    <w:p w14:paraId="48839E02" w14:textId="77777777" w:rsidR="00073D27" w:rsidRPr="00F067E5" w:rsidRDefault="00073D27" w:rsidP="00F067E5">
      <w:pPr>
        <w:spacing w:line="240" w:lineRule="auto"/>
        <w:jc w:val="both"/>
        <w:rPr>
          <w:rFonts w:cs="Times New Roman"/>
          <w:szCs w:val="24"/>
        </w:rPr>
      </w:pPr>
    </w:p>
    <w:p w14:paraId="54BB06F9" w14:textId="77777777" w:rsidR="008A0779" w:rsidRDefault="008A0779" w:rsidP="00F067E5">
      <w:pPr>
        <w:spacing w:line="240" w:lineRule="auto"/>
        <w:jc w:val="both"/>
        <w:rPr>
          <w:rFonts w:cs="Times New Roman"/>
          <w:b/>
          <w:bCs/>
          <w:szCs w:val="24"/>
        </w:rPr>
      </w:pPr>
      <w:r w:rsidRPr="00F067E5">
        <w:rPr>
          <w:rFonts w:cs="Times New Roman"/>
          <w:b/>
          <w:bCs/>
          <w:szCs w:val="24"/>
        </w:rPr>
        <w:t>Artículo 1. Objeto</w:t>
      </w:r>
    </w:p>
    <w:p w14:paraId="687299D8" w14:textId="77777777" w:rsidR="00331268" w:rsidRDefault="00331268" w:rsidP="00F067E5">
      <w:pPr>
        <w:spacing w:line="240" w:lineRule="auto"/>
        <w:jc w:val="both"/>
        <w:rPr>
          <w:rFonts w:cs="Times New Roman"/>
          <w:szCs w:val="24"/>
        </w:rPr>
      </w:pPr>
    </w:p>
    <w:p w14:paraId="06103254" w14:textId="6BA65E0A" w:rsidR="008A0779" w:rsidRPr="00F067E5" w:rsidRDefault="00112A63" w:rsidP="00F067E5">
      <w:pPr>
        <w:spacing w:line="240" w:lineRule="auto"/>
        <w:jc w:val="both"/>
        <w:rPr>
          <w:rFonts w:cs="Times New Roman"/>
          <w:szCs w:val="24"/>
        </w:rPr>
      </w:pPr>
      <w:r w:rsidRPr="00F067E5">
        <w:rPr>
          <w:rFonts w:cs="Times New Roman"/>
          <w:szCs w:val="24"/>
        </w:rPr>
        <w:t>Establecer los lineamientos generales para que las entidades reguladas conformen una base de datos con los incidentes relacionados con los riesgos operativos, que permita identificar, cuantificar y gestionar los riesgos de este tipo que afectan los fondos de pensiones y de capitalización laboral, y que proporcione a la Superintendencia de Pensiones información relevante para fortalecer la supervisión y el análisis del riesgo operativo del sistema.</w:t>
      </w:r>
    </w:p>
    <w:p w14:paraId="30441F52" w14:textId="77777777" w:rsidR="00112A63" w:rsidRPr="00F067E5" w:rsidRDefault="00112A63" w:rsidP="00F067E5">
      <w:pPr>
        <w:spacing w:line="240" w:lineRule="auto"/>
        <w:jc w:val="both"/>
        <w:rPr>
          <w:rFonts w:cs="Times New Roman"/>
          <w:szCs w:val="24"/>
        </w:rPr>
      </w:pPr>
    </w:p>
    <w:p w14:paraId="19B2A691" w14:textId="77777777" w:rsidR="00E73E49" w:rsidRPr="00F067E5" w:rsidRDefault="00E73E49" w:rsidP="00F067E5">
      <w:pPr>
        <w:spacing w:line="240" w:lineRule="auto"/>
        <w:jc w:val="both"/>
        <w:rPr>
          <w:rFonts w:cs="Times New Roman"/>
          <w:b/>
          <w:bCs/>
          <w:szCs w:val="24"/>
        </w:rPr>
      </w:pPr>
      <w:r w:rsidRPr="00F067E5">
        <w:rPr>
          <w:rFonts w:cs="Times New Roman"/>
          <w:b/>
          <w:bCs/>
          <w:szCs w:val="24"/>
        </w:rPr>
        <w:t>Artículo 2. Ámbito</w:t>
      </w:r>
    </w:p>
    <w:p w14:paraId="031884CE" w14:textId="77777777" w:rsidR="00331268" w:rsidRDefault="00331268" w:rsidP="00F067E5">
      <w:pPr>
        <w:spacing w:line="240" w:lineRule="auto"/>
        <w:jc w:val="both"/>
        <w:rPr>
          <w:rFonts w:cs="Times New Roman"/>
          <w:szCs w:val="24"/>
        </w:rPr>
      </w:pPr>
    </w:p>
    <w:p w14:paraId="1691811A" w14:textId="1219CEA0" w:rsidR="008A0779" w:rsidRPr="00F067E5" w:rsidRDefault="00BE0976" w:rsidP="00F067E5">
      <w:pPr>
        <w:spacing w:line="240" w:lineRule="auto"/>
        <w:jc w:val="both"/>
        <w:rPr>
          <w:rFonts w:cs="Times New Roman"/>
          <w:szCs w:val="24"/>
        </w:rPr>
      </w:pPr>
      <w:r w:rsidRPr="00F067E5">
        <w:rPr>
          <w:rFonts w:cs="Times New Roman"/>
          <w:szCs w:val="24"/>
        </w:rPr>
        <w:t>Estos lineamientos son de acatamiento obligatorio para todas las entidades reguladas según lo establecido en el inciso h del artículo 2 de la Ley de Protección al Trabajador. Para el caso del Régimen de Invalidez, vejez y muerte administrado por la CCSS</w:t>
      </w:r>
      <w:r w:rsidR="00072B55">
        <w:rPr>
          <w:rFonts w:cs="Times New Roman"/>
          <w:szCs w:val="24"/>
        </w:rPr>
        <w:t>,</w:t>
      </w:r>
      <w:r w:rsidRPr="00F067E5">
        <w:rPr>
          <w:rFonts w:cs="Times New Roman"/>
          <w:szCs w:val="24"/>
        </w:rPr>
        <w:t xml:space="preserve"> se podrán considerar como referencia para el buen manejo de los riesgos operativos que se presenten.</w:t>
      </w:r>
    </w:p>
    <w:p w14:paraId="3DB0C4C0" w14:textId="77777777" w:rsidR="00BE0976" w:rsidRPr="00F067E5" w:rsidRDefault="00BE0976" w:rsidP="00F067E5">
      <w:pPr>
        <w:spacing w:line="240" w:lineRule="auto"/>
        <w:jc w:val="both"/>
        <w:rPr>
          <w:rFonts w:cs="Times New Roman"/>
          <w:b/>
          <w:bCs/>
          <w:szCs w:val="24"/>
        </w:rPr>
      </w:pPr>
    </w:p>
    <w:p w14:paraId="16DA6F05" w14:textId="77777777" w:rsidR="003D3036" w:rsidRDefault="008A0779" w:rsidP="00F067E5">
      <w:pPr>
        <w:spacing w:line="240" w:lineRule="auto"/>
        <w:jc w:val="both"/>
        <w:rPr>
          <w:rFonts w:cs="Times New Roman"/>
          <w:szCs w:val="24"/>
        </w:rPr>
      </w:pPr>
      <w:r w:rsidRPr="00F067E5">
        <w:rPr>
          <w:rFonts w:cs="Times New Roman"/>
          <w:b/>
          <w:bCs/>
          <w:szCs w:val="24"/>
        </w:rPr>
        <w:t xml:space="preserve">Artículo 3. </w:t>
      </w:r>
      <w:r w:rsidR="00DF2C07" w:rsidRPr="003D3036">
        <w:rPr>
          <w:rFonts w:cs="Times New Roman"/>
          <w:b/>
          <w:bCs/>
          <w:szCs w:val="24"/>
        </w:rPr>
        <w:t>Evento de riesgo</w:t>
      </w:r>
    </w:p>
    <w:p w14:paraId="6BA8FEC9" w14:textId="77777777" w:rsidR="00331268" w:rsidRDefault="00331268" w:rsidP="00F067E5">
      <w:pPr>
        <w:spacing w:line="240" w:lineRule="auto"/>
        <w:jc w:val="both"/>
        <w:rPr>
          <w:rFonts w:cs="Times New Roman"/>
          <w:szCs w:val="24"/>
        </w:rPr>
      </w:pPr>
    </w:p>
    <w:p w14:paraId="56C3DFE7" w14:textId="4345E683" w:rsidR="002B2A8A" w:rsidRPr="00F067E5" w:rsidRDefault="003D3036" w:rsidP="00F067E5">
      <w:pPr>
        <w:spacing w:line="240" w:lineRule="auto"/>
        <w:jc w:val="both"/>
        <w:rPr>
          <w:rFonts w:cs="Times New Roman"/>
          <w:szCs w:val="24"/>
        </w:rPr>
      </w:pPr>
      <w:r>
        <w:rPr>
          <w:rFonts w:cs="Times New Roman"/>
          <w:szCs w:val="24"/>
        </w:rPr>
        <w:t>Un evento de riesgo es un s</w:t>
      </w:r>
      <w:r w:rsidR="00DF2C07" w:rsidRPr="00F067E5">
        <w:rPr>
          <w:rFonts w:cs="Times New Roman"/>
          <w:szCs w:val="24"/>
        </w:rPr>
        <w:t>uceso o serie de sucesos, de origen interno o externo, que pueden derivar en un daño, pérdida o impacto negativo para la entidad. Puede ser de dos tipos: incidentes, eventos que se han producido; o eventos potenciales, aquellos que podrían producirse.</w:t>
      </w:r>
    </w:p>
    <w:p w14:paraId="6CDB4263" w14:textId="77777777" w:rsidR="00DF2C07" w:rsidRPr="00F067E5" w:rsidRDefault="00DF2C07" w:rsidP="00F067E5">
      <w:pPr>
        <w:spacing w:line="240" w:lineRule="auto"/>
        <w:jc w:val="both"/>
        <w:rPr>
          <w:rFonts w:cs="Times New Roman"/>
          <w:szCs w:val="24"/>
        </w:rPr>
      </w:pPr>
    </w:p>
    <w:p w14:paraId="00FC53DD" w14:textId="77777777" w:rsidR="008A0779" w:rsidRPr="00F067E5" w:rsidRDefault="008A0779" w:rsidP="00F067E5">
      <w:pPr>
        <w:spacing w:line="240" w:lineRule="auto"/>
        <w:jc w:val="both"/>
        <w:rPr>
          <w:rFonts w:cs="Times New Roman"/>
          <w:b/>
          <w:bCs/>
          <w:szCs w:val="24"/>
        </w:rPr>
      </w:pPr>
      <w:r w:rsidRPr="00F067E5">
        <w:rPr>
          <w:rFonts w:cs="Times New Roman"/>
          <w:b/>
          <w:bCs/>
          <w:szCs w:val="24"/>
        </w:rPr>
        <w:t>Artículo 4. Identificación</w:t>
      </w:r>
    </w:p>
    <w:p w14:paraId="70B8FD79" w14:textId="77777777" w:rsidR="00331268" w:rsidRDefault="00331268" w:rsidP="00F067E5">
      <w:pPr>
        <w:spacing w:line="240" w:lineRule="auto"/>
        <w:jc w:val="both"/>
        <w:rPr>
          <w:rFonts w:cs="Times New Roman"/>
          <w:szCs w:val="24"/>
        </w:rPr>
      </w:pPr>
    </w:p>
    <w:p w14:paraId="24E5DA27" w14:textId="3E417883" w:rsidR="000526ED" w:rsidRPr="00F067E5" w:rsidRDefault="000526ED" w:rsidP="00F067E5">
      <w:pPr>
        <w:spacing w:line="240" w:lineRule="auto"/>
        <w:jc w:val="both"/>
        <w:rPr>
          <w:rFonts w:cs="Times New Roman"/>
          <w:szCs w:val="24"/>
        </w:rPr>
      </w:pPr>
      <w:r w:rsidRPr="00F067E5">
        <w:rPr>
          <w:rFonts w:cs="Times New Roman"/>
          <w:szCs w:val="24"/>
        </w:rPr>
        <w:t>La entidad debe establecer un procedimiento para identificar, catalogar y documentar los incidentes de riesgo operativo dentro de cada una de las distintas áreas. Se deben incluir los procesos y subprocesos relacionados a un nivel de detalle que le permita una adecuada identificación de los riesgos y la distinción de sus procesos críticos.</w:t>
      </w:r>
    </w:p>
    <w:p w14:paraId="20194680" w14:textId="77777777" w:rsidR="000526ED" w:rsidRPr="00F067E5" w:rsidRDefault="000526ED" w:rsidP="00F067E5">
      <w:pPr>
        <w:spacing w:line="240" w:lineRule="auto"/>
        <w:jc w:val="both"/>
        <w:rPr>
          <w:rFonts w:cs="Times New Roman"/>
          <w:szCs w:val="24"/>
        </w:rPr>
      </w:pPr>
    </w:p>
    <w:p w14:paraId="20EED9E5" w14:textId="77777777" w:rsidR="000526ED" w:rsidRPr="00F067E5" w:rsidRDefault="000526ED" w:rsidP="00F067E5">
      <w:pPr>
        <w:spacing w:line="240" w:lineRule="auto"/>
        <w:jc w:val="both"/>
        <w:rPr>
          <w:rFonts w:cs="Times New Roman"/>
          <w:szCs w:val="24"/>
        </w:rPr>
      </w:pPr>
      <w:r w:rsidRPr="00F067E5">
        <w:rPr>
          <w:rFonts w:cs="Times New Roman"/>
          <w:szCs w:val="24"/>
        </w:rPr>
        <w:t>En el proceso de identificación de riesgos, la entidad debe velar que se provea de información suficiente para determinar la exposición al riesgo operativo.</w:t>
      </w:r>
    </w:p>
    <w:p w14:paraId="16BFEEA4" w14:textId="77777777" w:rsidR="000526ED" w:rsidRPr="00F067E5" w:rsidRDefault="000526ED" w:rsidP="00F067E5">
      <w:pPr>
        <w:spacing w:line="240" w:lineRule="auto"/>
        <w:jc w:val="both"/>
        <w:rPr>
          <w:rFonts w:cs="Times New Roman"/>
          <w:szCs w:val="24"/>
        </w:rPr>
      </w:pPr>
    </w:p>
    <w:p w14:paraId="0629E3DC" w14:textId="77777777" w:rsidR="000526ED" w:rsidRPr="00F067E5" w:rsidRDefault="000526ED" w:rsidP="00F067E5">
      <w:pPr>
        <w:spacing w:line="240" w:lineRule="auto"/>
        <w:jc w:val="both"/>
        <w:rPr>
          <w:rFonts w:cs="Times New Roman"/>
          <w:szCs w:val="24"/>
        </w:rPr>
      </w:pPr>
      <w:r w:rsidRPr="00F067E5">
        <w:rPr>
          <w:rFonts w:cs="Times New Roman"/>
          <w:szCs w:val="24"/>
        </w:rPr>
        <w:t xml:space="preserve">Los incidentes deben ser clasificados en las siguientes categorías de riesgo operativo: </w:t>
      </w:r>
    </w:p>
    <w:p w14:paraId="41427638" w14:textId="77777777" w:rsidR="000526ED" w:rsidRPr="00F067E5" w:rsidRDefault="000526ED" w:rsidP="00F067E5">
      <w:pPr>
        <w:spacing w:line="240" w:lineRule="auto"/>
        <w:jc w:val="both"/>
        <w:rPr>
          <w:rFonts w:cs="Times New Roman"/>
          <w:szCs w:val="24"/>
        </w:rPr>
      </w:pPr>
    </w:p>
    <w:p w14:paraId="10173535"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Fraude interno.</w:t>
      </w:r>
      <w:r w:rsidRPr="00F067E5">
        <w:rPr>
          <w:rFonts w:cs="Times New Roman"/>
          <w:szCs w:val="24"/>
        </w:rPr>
        <w:t xml:space="preserve"> Pérdidas derivadas de algún tipo de actuación encaminada a defraudar, apropiarse de bienes indebidamente o incumplir regulaciones, leyes o políticas empresariales en las que se encuentra implicado, al menos, un miembro de la empresa, y que tiene como fin obtener un beneficio ilícito. </w:t>
      </w:r>
    </w:p>
    <w:p w14:paraId="6560F444"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Fraude externo.</w:t>
      </w:r>
      <w:r w:rsidRPr="00F067E5">
        <w:rPr>
          <w:rFonts w:cs="Times New Roman"/>
          <w:szCs w:val="24"/>
        </w:rPr>
        <w:t xml:space="preserve"> Pérdidas derivadas de algún tipo de actuación encaminada a defraudar, apropiarse de bienes indebidamente o incumplir la legislación, por parte de un tercero, con el fin de obtener un beneficio ilícito. </w:t>
      </w:r>
    </w:p>
    <w:p w14:paraId="5387AF84"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Relaciones laborales y seguridad en el puesto de trabajo.</w:t>
      </w:r>
      <w:r w:rsidRPr="00F067E5">
        <w:rPr>
          <w:rFonts w:cs="Times New Roman"/>
          <w:szCs w:val="24"/>
        </w:rPr>
        <w:t xml:space="preserve"> Pérdidas derivadas de actuaciones incompatibles con la legislación o acuerdos laborales, sobre higiene o seguridad en el trabajo, sobre el pago de reclamos por daños personales, o sobre casos relacionados con la diversidad o discriminación. </w:t>
      </w:r>
    </w:p>
    <w:p w14:paraId="17653A7D"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Clientes, productos y prácticas empresariales.</w:t>
      </w:r>
      <w:r w:rsidRPr="00F067E5">
        <w:rPr>
          <w:rFonts w:cs="Times New Roman"/>
          <w:szCs w:val="24"/>
        </w:rPr>
        <w:t xml:space="preserve"> Pérdidas derivadas del incumplimiento involuntario o negligente de una obligación empresarial frente a clientes concretos (incluidos requisitos fiduciarios y de adecuación), o de la naturaleza o diseño de un producto. </w:t>
      </w:r>
    </w:p>
    <w:p w14:paraId="21819797"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Daños a activos materiales.</w:t>
      </w:r>
      <w:r w:rsidRPr="00F067E5">
        <w:rPr>
          <w:rFonts w:cs="Times New Roman"/>
          <w:szCs w:val="24"/>
        </w:rPr>
        <w:t xml:space="preserve"> Pérdidas derivadas de daños o perjuicios a activos materiales como consecuencia de desastres naturales u otros acontecimientos. </w:t>
      </w:r>
    </w:p>
    <w:p w14:paraId="03A14EF4"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Interrupción del negocio y fallos en los sistemas</w:t>
      </w:r>
      <w:r w:rsidRPr="00F067E5">
        <w:rPr>
          <w:rFonts w:cs="Times New Roman"/>
          <w:szCs w:val="24"/>
        </w:rPr>
        <w:t xml:space="preserve">. Pérdidas derivadas de interrupciones en el negocio y de fallos en los sistemas. </w:t>
      </w:r>
    </w:p>
    <w:p w14:paraId="5E5EAAF9" w14:textId="77777777" w:rsidR="000526ED" w:rsidRPr="00F067E5" w:rsidRDefault="000526ED" w:rsidP="00F067E5">
      <w:pPr>
        <w:pStyle w:val="Prrafodelista"/>
        <w:numPr>
          <w:ilvl w:val="0"/>
          <w:numId w:val="18"/>
        </w:numPr>
        <w:spacing w:line="240" w:lineRule="auto"/>
        <w:jc w:val="both"/>
        <w:rPr>
          <w:rFonts w:cs="Times New Roman"/>
          <w:szCs w:val="24"/>
        </w:rPr>
      </w:pPr>
      <w:r w:rsidRPr="00F067E5">
        <w:rPr>
          <w:rFonts w:cs="Times New Roman"/>
          <w:b/>
          <w:bCs/>
          <w:szCs w:val="24"/>
        </w:rPr>
        <w:t>Ejecución, entrega y gestión de procesos.</w:t>
      </w:r>
      <w:r w:rsidRPr="00F067E5">
        <w:rPr>
          <w:rFonts w:cs="Times New Roman"/>
          <w:szCs w:val="24"/>
        </w:rPr>
        <w:t xml:space="preserve"> Pérdidas derivadas de errores en el procesamiento de operaciones o en la gestión de procesos, así como de relaciones con contrapartes comerciales y proveedores.</w:t>
      </w:r>
    </w:p>
    <w:p w14:paraId="4D82A74A" w14:textId="77777777" w:rsidR="008A0779" w:rsidRPr="00F067E5" w:rsidRDefault="008A0779" w:rsidP="00F067E5">
      <w:pPr>
        <w:spacing w:line="240" w:lineRule="auto"/>
        <w:jc w:val="both"/>
        <w:rPr>
          <w:rFonts w:cs="Times New Roman"/>
          <w:b/>
          <w:bCs/>
          <w:szCs w:val="24"/>
        </w:rPr>
      </w:pPr>
    </w:p>
    <w:p w14:paraId="0BB431B1" w14:textId="77777777" w:rsidR="008A0779" w:rsidRPr="00F067E5" w:rsidRDefault="008A0779" w:rsidP="00F067E5">
      <w:pPr>
        <w:spacing w:line="240" w:lineRule="auto"/>
        <w:jc w:val="both"/>
        <w:rPr>
          <w:rFonts w:cs="Times New Roman"/>
          <w:b/>
          <w:bCs/>
          <w:szCs w:val="24"/>
        </w:rPr>
      </w:pPr>
      <w:r w:rsidRPr="00F067E5">
        <w:rPr>
          <w:rFonts w:cs="Times New Roman"/>
          <w:b/>
          <w:bCs/>
          <w:szCs w:val="24"/>
        </w:rPr>
        <w:t>Artículo 5. Medición y valoración</w:t>
      </w:r>
    </w:p>
    <w:p w14:paraId="48A3C030" w14:textId="77777777" w:rsidR="00331268" w:rsidRDefault="00331268" w:rsidP="00F067E5">
      <w:pPr>
        <w:spacing w:line="240" w:lineRule="auto"/>
        <w:jc w:val="both"/>
        <w:rPr>
          <w:rFonts w:cs="Times New Roman"/>
          <w:szCs w:val="24"/>
        </w:rPr>
      </w:pPr>
    </w:p>
    <w:p w14:paraId="20FC59CA" w14:textId="1F137607" w:rsidR="008A0779" w:rsidRPr="00F067E5" w:rsidRDefault="00765FEE" w:rsidP="00F067E5">
      <w:pPr>
        <w:spacing w:line="240" w:lineRule="auto"/>
        <w:jc w:val="both"/>
        <w:rPr>
          <w:rFonts w:cs="Times New Roman"/>
          <w:szCs w:val="24"/>
        </w:rPr>
      </w:pPr>
      <w:r w:rsidRPr="00F067E5">
        <w:rPr>
          <w:rFonts w:cs="Times New Roman"/>
          <w:szCs w:val="24"/>
        </w:rPr>
        <w:t>La entidad debe evaluar los incidentes de riesgo, lo cual implica la identificación, medición y valoración de las pérdidas que han sido materializadas. La metodología que implemente para la medición y valoración debe ser cualitativa y cuantitativa. La evaluación cualitativa busca desarrollar los criterios para priorizar la atención de los riesgos y establecer la periodicidad para su seguimiento. La evaluación cuantitativa debe estimar el impacto monetario de los incidentes de riesgo, de modo que permita identificar el impacto financiero, legal, reputacional u operativo del incidente de riesgo.</w:t>
      </w:r>
    </w:p>
    <w:p w14:paraId="58993D84" w14:textId="77777777" w:rsidR="00765FEE" w:rsidRPr="00F067E5" w:rsidRDefault="00765FEE" w:rsidP="00F067E5">
      <w:pPr>
        <w:spacing w:line="240" w:lineRule="auto"/>
        <w:jc w:val="both"/>
        <w:rPr>
          <w:rFonts w:cs="Times New Roman"/>
          <w:b/>
          <w:bCs/>
          <w:szCs w:val="24"/>
        </w:rPr>
      </w:pPr>
    </w:p>
    <w:p w14:paraId="56448B24" w14:textId="77777777" w:rsidR="008A0779" w:rsidRPr="00F067E5" w:rsidRDefault="008A0779" w:rsidP="00F067E5">
      <w:pPr>
        <w:spacing w:line="240" w:lineRule="auto"/>
        <w:jc w:val="both"/>
        <w:rPr>
          <w:rFonts w:cs="Times New Roman"/>
          <w:b/>
          <w:bCs/>
          <w:szCs w:val="24"/>
        </w:rPr>
      </w:pPr>
      <w:r w:rsidRPr="00F067E5">
        <w:rPr>
          <w:rFonts w:cs="Times New Roman"/>
          <w:b/>
          <w:bCs/>
          <w:szCs w:val="24"/>
        </w:rPr>
        <w:t>Artículo 6. Reporte de riesgo operativo</w:t>
      </w:r>
    </w:p>
    <w:p w14:paraId="1DC80195" w14:textId="77777777" w:rsidR="00331268" w:rsidRDefault="00331268" w:rsidP="00F067E5">
      <w:pPr>
        <w:spacing w:line="240" w:lineRule="auto"/>
        <w:jc w:val="both"/>
        <w:rPr>
          <w:rFonts w:cs="Times New Roman"/>
          <w:szCs w:val="24"/>
        </w:rPr>
      </w:pPr>
    </w:p>
    <w:p w14:paraId="28967C98" w14:textId="4B1CA2F8" w:rsidR="00A44C99" w:rsidRPr="00F067E5" w:rsidRDefault="00A44C99" w:rsidP="00F067E5">
      <w:pPr>
        <w:spacing w:line="240" w:lineRule="auto"/>
        <w:jc w:val="both"/>
        <w:rPr>
          <w:rFonts w:cs="Times New Roman"/>
          <w:szCs w:val="24"/>
        </w:rPr>
      </w:pPr>
      <w:r w:rsidRPr="00F067E5">
        <w:rPr>
          <w:rFonts w:cs="Times New Roman"/>
          <w:szCs w:val="24"/>
        </w:rPr>
        <w:t>Los datos requeridos para que las entidades conformen una base de datos para incidentes de riesgo operativo, deben contener, al menos:</w:t>
      </w:r>
    </w:p>
    <w:p w14:paraId="3E60CE30" w14:textId="77777777" w:rsidR="0078725C" w:rsidRPr="00F067E5" w:rsidRDefault="0078725C" w:rsidP="00F067E5">
      <w:pPr>
        <w:spacing w:line="240" w:lineRule="auto"/>
        <w:jc w:val="both"/>
        <w:rPr>
          <w:rFonts w:cs="Times New Roman"/>
          <w:szCs w:val="24"/>
        </w:rPr>
      </w:pPr>
    </w:p>
    <w:p w14:paraId="3036A6C4"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lastRenderedPageBreak/>
        <w:t>Fecha del reporte</w:t>
      </w:r>
      <w:r w:rsidRPr="00F067E5">
        <w:rPr>
          <w:rFonts w:cs="Times New Roman"/>
          <w:szCs w:val="24"/>
        </w:rPr>
        <w:t>: Fecha del fin de mes a la cual corresponde la información remitida con el formato “aaaa-mm-dd”.</w:t>
      </w:r>
    </w:p>
    <w:p w14:paraId="3BA874FC"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Fecha del incidente:</w:t>
      </w:r>
      <w:r w:rsidRPr="00F067E5">
        <w:rPr>
          <w:rFonts w:cs="Times New Roman"/>
          <w:szCs w:val="24"/>
        </w:rPr>
        <w:t xml:space="preserve"> La fecha en la que ocurrió el incidente de riesgo operativo, para facilitar su rastreo y análisis histórico con el formato “aaaa-mm-dd”.</w:t>
      </w:r>
    </w:p>
    <w:p w14:paraId="489CC1D6"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Entidad:</w:t>
      </w:r>
      <w:r w:rsidRPr="00F067E5">
        <w:rPr>
          <w:rFonts w:cs="Times New Roman"/>
          <w:szCs w:val="24"/>
        </w:rPr>
        <w:t xml:space="preserve"> Identificador único asignado por la SUPEN a cada una de las entidades supervisadas.</w:t>
      </w:r>
    </w:p>
    <w:p w14:paraId="40C503DC"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Fondo:</w:t>
      </w:r>
      <w:r w:rsidRPr="00F067E5">
        <w:rPr>
          <w:rFonts w:cs="Times New Roman"/>
          <w:szCs w:val="24"/>
        </w:rPr>
        <w:t xml:space="preserve"> Identificador único asignado por la SUPEN a cada Fondo Administrado.</w:t>
      </w:r>
    </w:p>
    <w:p w14:paraId="6131F5F2" w14:textId="77777777" w:rsidR="00A44C99" w:rsidRPr="00F067E5" w:rsidRDefault="00A44C99" w:rsidP="00F067E5">
      <w:pPr>
        <w:pStyle w:val="Prrafodelista"/>
        <w:numPr>
          <w:ilvl w:val="0"/>
          <w:numId w:val="16"/>
        </w:numPr>
        <w:spacing w:line="240" w:lineRule="auto"/>
        <w:ind w:left="447"/>
        <w:jc w:val="both"/>
        <w:rPr>
          <w:rFonts w:cs="Times New Roman"/>
          <w:szCs w:val="24"/>
        </w:rPr>
      </w:pPr>
      <w:r w:rsidRPr="00F067E5">
        <w:rPr>
          <w:rFonts w:cs="Times New Roman"/>
          <w:b/>
          <w:bCs/>
          <w:szCs w:val="24"/>
        </w:rPr>
        <w:t>Identificador único:</w:t>
      </w:r>
      <w:r w:rsidRPr="00F067E5">
        <w:rPr>
          <w:rFonts w:cs="Times New Roman"/>
          <w:szCs w:val="24"/>
        </w:rPr>
        <w:t xml:space="preserve"> código exclusivo que se asigna al incidente de riesgo operativo para distinguirlo de todos los demás.</w:t>
      </w:r>
    </w:p>
    <w:p w14:paraId="54B53BC0"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Descripción del incidente:</w:t>
      </w:r>
      <w:r w:rsidRPr="00F067E5">
        <w:rPr>
          <w:rFonts w:cs="Times New Roman"/>
          <w:szCs w:val="24"/>
        </w:rPr>
        <w:t xml:space="preserve"> Una descripción detallada del incidente de riesgo, incluyendo la naturaleza, sus causas y el área afectada.</w:t>
      </w:r>
    </w:p>
    <w:p w14:paraId="47C211BC"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Categoría del riesgo operativo:</w:t>
      </w:r>
      <w:r w:rsidRPr="00F067E5">
        <w:rPr>
          <w:rFonts w:cs="Times New Roman"/>
          <w:szCs w:val="24"/>
        </w:rPr>
        <w:t xml:space="preserve"> Clasificación del evento dentro de las categorías de riesgo operativo definidas en el artículo 4.</w:t>
      </w:r>
    </w:p>
    <w:p w14:paraId="7B2F4318"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Área o proceso afectado y/o Involucrado:</w:t>
      </w:r>
      <w:r w:rsidRPr="00F067E5">
        <w:rPr>
          <w:rFonts w:cs="Times New Roman"/>
          <w:szCs w:val="24"/>
        </w:rPr>
        <w:t xml:space="preserve"> Identificación de la unidad de negocio, proceso o subproceso donde ocurrió el incidente de riesgo.</w:t>
      </w:r>
    </w:p>
    <w:p w14:paraId="5F2DDBD7"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Probabilidad de ocurrencia (frecuencia mensual):</w:t>
      </w:r>
      <w:r w:rsidRPr="00F067E5">
        <w:rPr>
          <w:rFonts w:cs="Times New Roman"/>
          <w:szCs w:val="24"/>
        </w:rPr>
        <w:t xml:space="preserve"> Una estimación de la probabilidad de que el incidente se repita en el futuro, basada en datos históricos y análisis cualitativo.</w:t>
      </w:r>
    </w:p>
    <w:p w14:paraId="7D57A523"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Impacto monetario:</w:t>
      </w:r>
      <w:r w:rsidRPr="00F067E5">
        <w:rPr>
          <w:rFonts w:cs="Times New Roman"/>
          <w:szCs w:val="24"/>
        </w:rPr>
        <w:t xml:space="preserve"> Estimación del costo monetario que el incidente tuvo o podría tener, con una diferenciación entre pérdidas directas (inmediatas) y pérdidas indirectas (a largo plazo o por daños reputacionales).</w:t>
      </w:r>
    </w:p>
    <w:p w14:paraId="26672E58" w14:textId="77777777" w:rsidR="00A44C99" w:rsidRPr="00F067E5" w:rsidRDefault="00A44C99" w:rsidP="00F067E5">
      <w:pPr>
        <w:pStyle w:val="Prrafodelista"/>
        <w:numPr>
          <w:ilvl w:val="0"/>
          <w:numId w:val="16"/>
        </w:numPr>
        <w:spacing w:line="240" w:lineRule="auto"/>
        <w:ind w:left="447"/>
        <w:jc w:val="both"/>
        <w:rPr>
          <w:rFonts w:cs="Times New Roman"/>
          <w:szCs w:val="24"/>
        </w:rPr>
      </w:pPr>
      <w:r w:rsidRPr="00F067E5">
        <w:rPr>
          <w:rFonts w:cs="Times New Roman"/>
          <w:b/>
          <w:bCs/>
          <w:szCs w:val="24"/>
        </w:rPr>
        <w:t>Tipo de impacto:</w:t>
      </w:r>
      <w:r w:rsidRPr="00F067E5">
        <w:rPr>
          <w:rFonts w:cs="Times New Roman"/>
          <w:szCs w:val="24"/>
        </w:rPr>
        <w:t xml:space="preserve"> Clasificación del impacto económico del incidente, indicando si corresponde a una pérdida directa (efectos inmediatos y cuantificables) o indirecta (efectos a largo plazo o reputacionales).</w:t>
      </w:r>
    </w:p>
    <w:p w14:paraId="5F69BEE8"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Acción correctiva:</w:t>
      </w:r>
      <w:r w:rsidRPr="00F067E5">
        <w:rPr>
          <w:rFonts w:cs="Times New Roman"/>
          <w:szCs w:val="24"/>
        </w:rPr>
        <w:t xml:space="preserve"> Detalles sobre las medidas tomadas o propuestas para mitigar el impacto del incidente o evitar su recurrencia.</w:t>
      </w:r>
    </w:p>
    <w:p w14:paraId="76CDBB6C"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Estado del incidente:</w:t>
      </w:r>
      <w:r w:rsidRPr="00F067E5">
        <w:rPr>
          <w:rFonts w:cs="Times New Roman"/>
          <w:szCs w:val="24"/>
        </w:rPr>
        <w:t xml:space="preserve"> Indicar si el incidente está "abierto" (identificado), "cerrado" (resuelto) o "en proceso" (acciones en marcha para atenderlo).</w:t>
      </w:r>
    </w:p>
    <w:p w14:paraId="4D9C02B6"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Responsable del seguimiento:</w:t>
      </w:r>
      <w:r w:rsidRPr="00F067E5">
        <w:rPr>
          <w:rFonts w:cs="Times New Roman"/>
          <w:szCs w:val="24"/>
        </w:rPr>
        <w:t xml:space="preserve"> Identificar a la persona, equipo y/o área encargada de implementar las acciones correctivas y hacer seguimiento del incidente.</w:t>
      </w:r>
    </w:p>
    <w:p w14:paraId="7520F048"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Fecha de resolución esperada:</w:t>
      </w:r>
      <w:r w:rsidRPr="00F067E5">
        <w:rPr>
          <w:rFonts w:cs="Times New Roman"/>
          <w:szCs w:val="24"/>
        </w:rPr>
        <w:t xml:space="preserve"> Estimar cuándo se espera que las acciones correctivas se completen y el riesgo esté mitigado, con el formato “aaaa-mm-dd”.</w:t>
      </w:r>
    </w:p>
    <w:p w14:paraId="0BAEF724"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Nivel de criticidad:</w:t>
      </w:r>
      <w:r w:rsidRPr="00F067E5">
        <w:rPr>
          <w:rFonts w:cs="Times New Roman"/>
          <w:szCs w:val="24"/>
        </w:rPr>
        <w:t xml:space="preserve"> Clasificación del incidente en términos de su criticidad (bajo, medio, alto) con respecto al riesgo que representa para los fondos de pensión. </w:t>
      </w:r>
    </w:p>
    <w:p w14:paraId="524BD2A7"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Tipo de pérdida:</w:t>
      </w:r>
      <w:r w:rsidRPr="00F067E5">
        <w:rPr>
          <w:rFonts w:cs="Times New Roman"/>
          <w:szCs w:val="24"/>
        </w:rPr>
        <w:t xml:space="preserve"> Indicar todos los tipos de pérdida que produjo el incidente de riesgo (financiera, legal, reputacional u operativa). </w:t>
      </w:r>
    </w:p>
    <w:p w14:paraId="15EAD1ED" w14:textId="77777777" w:rsidR="00A44C9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Incidente reportado previamente:</w:t>
      </w:r>
      <w:r w:rsidRPr="00F067E5">
        <w:rPr>
          <w:rFonts w:cs="Times New Roman"/>
          <w:szCs w:val="24"/>
        </w:rPr>
        <w:t xml:space="preserve"> Indicar si este incidente es recurrente o una nueva ocurrencia, para facilitar el análisis de patrones.</w:t>
      </w:r>
    </w:p>
    <w:p w14:paraId="6E8C6776" w14:textId="47013F6B" w:rsidR="008A0779" w:rsidRPr="00F067E5" w:rsidRDefault="00A44C99" w:rsidP="00F067E5">
      <w:pPr>
        <w:pStyle w:val="Prrafodelista"/>
        <w:numPr>
          <w:ilvl w:val="0"/>
          <w:numId w:val="16"/>
        </w:numPr>
        <w:spacing w:line="240" w:lineRule="auto"/>
        <w:ind w:left="447"/>
        <w:jc w:val="both"/>
        <w:rPr>
          <w:rFonts w:cs="Times New Roman"/>
          <w:b/>
          <w:bCs/>
          <w:szCs w:val="24"/>
        </w:rPr>
      </w:pPr>
      <w:r w:rsidRPr="00F067E5">
        <w:rPr>
          <w:rFonts w:cs="Times New Roman"/>
          <w:b/>
          <w:bCs/>
          <w:szCs w:val="24"/>
        </w:rPr>
        <w:t>Origen del incidente (interno/externo):</w:t>
      </w:r>
      <w:r w:rsidRPr="00F067E5">
        <w:rPr>
          <w:rFonts w:cs="Times New Roman"/>
          <w:szCs w:val="24"/>
        </w:rPr>
        <w:t xml:space="preserve"> Identificar si el incidente fue causado por factores internos (fallos de procesos, errores humanos) o por factores externos (ataques cibernéticos, desastres naturales).</w:t>
      </w:r>
    </w:p>
    <w:p w14:paraId="5D9C0337" w14:textId="77777777" w:rsidR="00A44C99" w:rsidRPr="00F067E5" w:rsidRDefault="00A44C99" w:rsidP="00F067E5">
      <w:pPr>
        <w:pStyle w:val="Prrafodelista"/>
        <w:spacing w:line="240" w:lineRule="auto"/>
        <w:ind w:left="447"/>
        <w:jc w:val="both"/>
        <w:rPr>
          <w:rFonts w:cs="Times New Roman"/>
          <w:b/>
          <w:bCs/>
          <w:szCs w:val="24"/>
        </w:rPr>
      </w:pPr>
    </w:p>
    <w:p w14:paraId="20D8FB34" w14:textId="77777777" w:rsidR="00331268" w:rsidRDefault="00331268" w:rsidP="00F067E5">
      <w:pPr>
        <w:spacing w:line="240" w:lineRule="auto"/>
        <w:jc w:val="both"/>
        <w:rPr>
          <w:rFonts w:cs="Times New Roman"/>
          <w:b/>
          <w:bCs/>
          <w:szCs w:val="24"/>
        </w:rPr>
      </w:pPr>
    </w:p>
    <w:p w14:paraId="14F9264C" w14:textId="216E55A9" w:rsidR="008A0779" w:rsidRPr="00F067E5" w:rsidRDefault="008A0779" w:rsidP="00F067E5">
      <w:pPr>
        <w:spacing w:line="240" w:lineRule="auto"/>
        <w:jc w:val="both"/>
        <w:rPr>
          <w:rFonts w:cs="Times New Roman"/>
          <w:b/>
          <w:bCs/>
          <w:szCs w:val="24"/>
        </w:rPr>
      </w:pPr>
      <w:r w:rsidRPr="00F067E5">
        <w:rPr>
          <w:rFonts w:cs="Times New Roman"/>
          <w:b/>
          <w:bCs/>
          <w:szCs w:val="24"/>
        </w:rPr>
        <w:lastRenderedPageBreak/>
        <w:t>Artículo 7. Remisión del reporte</w:t>
      </w:r>
    </w:p>
    <w:p w14:paraId="0A40566C" w14:textId="77777777" w:rsidR="00331268" w:rsidRDefault="00331268" w:rsidP="00F067E5">
      <w:pPr>
        <w:spacing w:line="240" w:lineRule="auto"/>
        <w:jc w:val="both"/>
        <w:rPr>
          <w:rFonts w:cs="Times New Roman"/>
          <w:szCs w:val="24"/>
        </w:rPr>
      </w:pPr>
    </w:p>
    <w:p w14:paraId="76F23986" w14:textId="7BC9DD6B" w:rsidR="004377AB" w:rsidRPr="00F067E5" w:rsidRDefault="004377AB" w:rsidP="00F067E5">
      <w:pPr>
        <w:spacing w:line="240" w:lineRule="auto"/>
        <w:jc w:val="both"/>
        <w:rPr>
          <w:rFonts w:cs="Times New Roman"/>
          <w:szCs w:val="24"/>
        </w:rPr>
      </w:pPr>
      <w:r w:rsidRPr="00F067E5">
        <w:rPr>
          <w:rFonts w:cs="Times New Roman"/>
          <w:szCs w:val="24"/>
        </w:rPr>
        <w:t xml:space="preserve">El reporte debe ser remitido trimestralmente a SUPEN de acuerdo con las disposiciones contenidas en este acuerdo, por medio de un archivo de Excel que debe ser enviado por correo electrónico a la dirección de correo </w:t>
      </w:r>
      <w:hyperlink r:id="rId11" w:history="1">
        <w:r w:rsidRPr="00F067E5">
          <w:rPr>
            <w:rStyle w:val="Hipervnculo"/>
            <w:rFonts w:cs="Times New Roman"/>
            <w:szCs w:val="24"/>
          </w:rPr>
          <w:t>supen@supen.fi.cr</w:t>
        </w:r>
      </w:hyperlink>
      <w:r w:rsidRPr="00F067E5">
        <w:rPr>
          <w:rFonts w:cs="Times New Roman"/>
          <w:szCs w:val="24"/>
        </w:rPr>
        <w:t xml:space="preserve"> a más tardar el décimo día hábil de los meses de abril, julio, octubre y enero de cada año. Dicho archivo debe contener los incidentes de riesgo operativo identificados en trimestre previo a la remisión de la información.</w:t>
      </w:r>
    </w:p>
    <w:p w14:paraId="76272C21" w14:textId="77777777" w:rsidR="004377AB" w:rsidRPr="00F067E5" w:rsidRDefault="004377AB" w:rsidP="00F067E5">
      <w:pPr>
        <w:spacing w:line="240" w:lineRule="auto"/>
        <w:jc w:val="both"/>
        <w:rPr>
          <w:rFonts w:cs="Times New Roman"/>
          <w:szCs w:val="24"/>
        </w:rPr>
      </w:pPr>
    </w:p>
    <w:p w14:paraId="146FE73E" w14:textId="5FF5DCDE" w:rsidR="008A0779" w:rsidRPr="00F067E5" w:rsidRDefault="008A0779" w:rsidP="00F067E5">
      <w:pPr>
        <w:spacing w:line="240" w:lineRule="auto"/>
        <w:jc w:val="both"/>
        <w:rPr>
          <w:rFonts w:cs="Times New Roman"/>
          <w:b/>
          <w:bCs/>
          <w:szCs w:val="24"/>
        </w:rPr>
      </w:pPr>
      <w:r w:rsidRPr="00F067E5">
        <w:rPr>
          <w:rFonts w:cs="Times New Roman"/>
          <w:b/>
          <w:bCs/>
          <w:szCs w:val="24"/>
        </w:rPr>
        <w:t>Artículo 8. Plantilla de reporte de riesgo operativo</w:t>
      </w:r>
    </w:p>
    <w:p w14:paraId="4643C3D9" w14:textId="77777777" w:rsidR="00331268" w:rsidRDefault="00331268" w:rsidP="00F067E5">
      <w:pPr>
        <w:spacing w:line="240" w:lineRule="auto"/>
        <w:jc w:val="both"/>
        <w:rPr>
          <w:rFonts w:cs="Times New Roman"/>
          <w:szCs w:val="24"/>
        </w:rPr>
      </w:pPr>
    </w:p>
    <w:p w14:paraId="2406E5B4" w14:textId="2D02249F" w:rsidR="008A0779" w:rsidRDefault="008A0779" w:rsidP="00F067E5">
      <w:pPr>
        <w:spacing w:line="240" w:lineRule="auto"/>
        <w:jc w:val="both"/>
        <w:rPr>
          <w:rFonts w:cs="Times New Roman"/>
          <w:szCs w:val="24"/>
        </w:rPr>
      </w:pPr>
      <w:r w:rsidRPr="00F067E5">
        <w:rPr>
          <w:rFonts w:cs="Times New Roman"/>
          <w:szCs w:val="24"/>
        </w:rPr>
        <w:t>Las entidades deben suministrar la información en el formato definido en el archivo de Excel adjunto.</w:t>
      </w:r>
    </w:p>
    <w:p w14:paraId="0AA54913" w14:textId="77777777" w:rsidR="00331268" w:rsidRPr="00F067E5" w:rsidRDefault="00331268" w:rsidP="00F067E5">
      <w:pPr>
        <w:spacing w:line="240" w:lineRule="auto"/>
        <w:jc w:val="both"/>
        <w:rPr>
          <w:rFonts w:cs="Times New Roman"/>
          <w:szCs w:val="24"/>
        </w:rPr>
      </w:pPr>
    </w:p>
    <w:tbl>
      <w:tblPr>
        <w:tblStyle w:val="Tablaconcuadrcula4-nfasis5"/>
        <w:tblW w:w="0" w:type="auto"/>
        <w:tblLook w:val="04A0" w:firstRow="1" w:lastRow="0" w:firstColumn="1" w:lastColumn="0" w:noHBand="0" w:noVBand="1"/>
      </w:tblPr>
      <w:tblGrid>
        <w:gridCol w:w="4414"/>
        <w:gridCol w:w="4414"/>
      </w:tblGrid>
      <w:tr w:rsidR="00463722" w:rsidRPr="00F067E5" w14:paraId="047ADC87" w14:textId="77777777" w:rsidTr="004637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F1D32BB" w14:textId="40A4DECA" w:rsidR="00463722" w:rsidRPr="00F067E5" w:rsidRDefault="00463722" w:rsidP="00F067E5">
            <w:pPr>
              <w:spacing w:line="240" w:lineRule="auto"/>
              <w:jc w:val="both"/>
              <w:rPr>
                <w:rFonts w:cs="Times New Roman"/>
                <w:szCs w:val="24"/>
              </w:rPr>
            </w:pPr>
            <w:r w:rsidRPr="00F067E5">
              <w:rPr>
                <w:rFonts w:cs="Times New Roman"/>
                <w:szCs w:val="24"/>
              </w:rPr>
              <w:t>Descripción</w:t>
            </w:r>
          </w:p>
        </w:tc>
        <w:tc>
          <w:tcPr>
            <w:tcW w:w="4414" w:type="dxa"/>
          </w:tcPr>
          <w:p w14:paraId="2E300D4C" w14:textId="1C5D27D9" w:rsidR="00463722" w:rsidRPr="00F067E5" w:rsidRDefault="00463722" w:rsidP="00F067E5">
            <w:pPr>
              <w:spacing w:line="240" w:lineRule="auto"/>
              <w:jc w:val="both"/>
              <w:cnfStyle w:val="100000000000" w:firstRow="1" w:lastRow="0" w:firstColumn="0" w:lastColumn="0" w:oddVBand="0" w:evenVBand="0" w:oddHBand="0" w:evenHBand="0" w:firstRowFirstColumn="0" w:firstRowLastColumn="0" w:lastRowFirstColumn="0" w:lastRowLastColumn="0"/>
              <w:rPr>
                <w:rFonts w:cs="Times New Roman"/>
                <w:szCs w:val="24"/>
              </w:rPr>
            </w:pPr>
            <w:r w:rsidRPr="00F067E5">
              <w:rPr>
                <w:rFonts w:cs="Times New Roman"/>
                <w:szCs w:val="24"/>
              </w:rPr>
              <w:t>Archivo</w:t>
            </w:r>
          </w:p>
        </w:tc>
      </w:tr>
      <w:tr w:rsidR="00463722" w:rsidRPr="00F067E5" w14:paraId="0CC27DC4" w14:textId="77777777" w:rsidTr="00463722">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4414" w:type="dxa"/>
          </w:tcPr>
          <w:p w14:paraId="786AD831" w14:textId="77EB082D" w:rsidR="00463722" w:rsidRPr="00F067E5" w:rsidRDefault="00463722" w:rsidP="00F067E5">
            <w:pPr>
              <w:spacing w:line="240" w:lineRule="auto"/>
              <w:jc w:val="both"/>
              <w:rPr>
                <w:rFonts w:cs="Times New Roman"/>
                <w:szCs w:val="24"/>
              </w:rPr>
            </w:pPr>
            <w:r w:rsidRPr="00F067E5">
              <w:rPr>
                <w:rFonts w:cs="Times New Roman"/>
                <w:szCs w:val="24"/>
              </w:rPr>
              <w:t>Plantilla de Riesgo Operativo</w:t>
            </w:r>
          </w:p>
        </w:tc>
        <w:bookmarkStart w:id="0" w:name="_MON_1825148928"/>
        <w:bookmarkEnd w:id="0"/>
        <w:tc>
          <w:tcPr>
            <w:tcW w:w="4414" w:type="dxa"/>
          </w:tcPr>
          <w:p w14:paraId="35F4D600" w14:textId="5E6F15FE" w:rsidR="00463722" w:rsidRPr="00F067E5" w:rsidRDefault="00121FB8" w:rsidP="00F067E5">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067E5">
              <w:rPr>
                <w:rFonts w:cs="Times New Roman"/>
                <w:szCs w:val="24"/>
              </w:rPr>
              <w:object w:dxaOrig="1538" w:dyaOrig="994" w14:anchorId="38FF6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12" o:title=""/>
                </v:shape>
                <o:OLEObject Type="Embed" ProgID="Excel.Sheet.12" ShapeID="_x0000_i1025" DrawAspect="Icon" ObjectID="_1826866946" r:id="rId13"/>
              </w:object>
            </w:r>
          </w:p>
        </w:tc>
      </w:tr>
    </w:tbl>
    <w:p w14:paraId="76F3A0AA" w14:textId="77777777" w:rsidR="00463722" w:rsidRPr="00F067E5" w:rsidRDefault="00463722" w:rsidP="00F067E5">
      <w:pPr>
        <w:spacing w:line="240" w:lineRule="auto"/>
        <w:jc w:val="both"/>
        <w:rPr>
          <w:rFonts w:cs="Times New Roman"/>
          <w:szCs w:val="24"/>
        </w:rPr>
      </w:pPr>
    </w:p>
    <w:p w14:paraId="0D37E564" w14:textId="40587D79" w:rsidR="00291B81" w:rsidRPr="00F067E5" w:rsidRDefault="008A0779" w:rsidP="00F067E5">
      <w:pPr>
        <w:spacing w:line="240" w:lineRule="auto"/>
        <w:jc w:val="both"/>
        <w:rPr>
          <w:rFonts w:cs="Times New Roman"/>
          <w:szCs w:val="24"/>
        </w:rPr>
      </w:pPr>
      <w:r w:rsidRPr="00F067E5">
        <w:rPr>
          <w:rFonts w:cs="Times New Roman"/>
          <w:szCs w:val="24"/>
        </w:rPr>
        <w:t>Este acuerdo entrará en vigor el primero de enero del 2026 y el primer archivo que debe ser remitido a la superintendencia corresponde al trimestre que comprende los meses de enero a marzo de ese mismo año.</w:t>
      </w:r>
    </w:p>
    <w:p w14:paraId="24E639C6" w14:textId="77777777" w:rsidR="0096014F" w:rsidRPr="00F067E5" w:rsidRDefault="0096014F" w:rsidP="00F067E5">
      <w:pPr>
        <w:spacing w:line="240" w:lineRule="auto"/>
        <w:rPr>
          <w:rFonts w:cs="Times New Roman"/>
          <w:szCs w:val="24"/>
        </w:rPr>
      </w:pPr>
    </w:p>
    <w:p w14:paraId="2F431D79" w14:textId="77777777" w:rsidR="0096014F" w:rsidRPr="00F067E5" w:rsidRDefault="0096014F" w:rsidP="00F067E5">
      <w:pPr>
        <w:spacing w:line="240" w:lineRule="auto"/>
        <w:rPr>
          <w:rFonts w:cs="Times New Roman"/>
          <w:szCs w:val="24"/>
        </w:rPr>
      </w:pPr>
    </w:p>
    <w:p w14:paraId="3CCE7BCE" w14:textId="77777777" w:rsidR="0096014F" w:rsidRPr="00F067E5" w:rsidRDefault="0096014F" w:rsidP="00F067E5">
      <w:pPr>
        <w:spacing w:line="240" w:lineRule="auto"/>
        <w:jc w:val="center"/>
        <w:rPr>
          <w:rFonts w:cs="Times New Roman"/>
          <w:szCs w:val="24"/>
        </w:rPr>
      </w:pPr>
      <w:r w:rsidRPr="00F067E5">
        <w:rPr>
          <w:rFonts w:cs="Times New Roman"/>
          <w:szCs w:val="24"/>
        </w:rPr>
        <w:t>Comuníquese.</w:t>
      </w:r>
    </w:p>
    <w:p w14:paraId="5870674D" w14:textId="77777777" w:rsidR="0096014F" w:rsidRPr="00F067E5" w:rsidRDefault="0096014F" w:rsidP="00F067E5">
      <w:pPr>
        <w:spacing w:line="240" w:lineRule="auto"/>
        <w:jc w:val="center"/>
        <w:rPr>
          <w:rFonts w:cs="Times New Roman"/>
          <w:szCs w:val="24"/>
        </w:rPr>
      </w:pPr>
      <w:r w:rsidRPr="00F067E5">
        <w:rPr>
          <w:rFonts w:cs="Times New Roman"/>
          <w:noProof/>
          <w:szCs w:val="24"/>
        </w:rPr>
        <w:drawing>
          <wp:inline distT="0" distB="0" distL="0" distR="0" wp14:anchorId="154D42AD" wp14:editId="5003B5E5">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4"/>
                    <a:stretch>
                      <a:fillRect/>
                    </a:stretch>
                  </pic:blipFill>
                  <pic:spPr>
                    <a:xfrm>
                      <a:off x="0" y="0"/>
                      <a:ext cx="1701800" cy="662940"/>
                    </a:xfrm>
                    <a:prstGeom prst="rect">
                      <a:avLst/>
                    </a:prstGeom>
                  </pic:spPr>
                </pic:pic>
              </a:graphicData>
            </a:graphic>
          </wp:inline>
        </w:drawing>
      </w:r>
    </w:p>
    <w:p w14:paraId="6B37CA2A" w14:textId="77777777" w:rsidR="0096014F" w:rsidRPr="00F067E5" w:rsidRDefault="0096014F" w:rsidP="00F067E5">
      <w:pPr>
        <w:spacing w:line="240" w:lineRule="auto"/>
        <w:jc w:val="center"/>
        <w:rPr>
          <w:rFonts w:cs="Times New Roman"/>
          <w:szCs w:val="24"/>
        </w:rPr>
      </w:pPr>
      <w:r w:rsidRPr="00F067E5">
        <w:rPr>
          <w:rFonts w:cs="Times New Roman"/>
          <w:szCs w:val="24"/>
        </w:rPr>
        <w:t>Hermes Alvarado Salas</w:t>
      </w:r>
    </w:p>
    <w:p w14:paraId="56539B40" w14:textId="77777777" w:rsidR="0096014F" w:rsidRPr="00F067E5" w:rsidRDefault="0096014F" w:rsidP="00F067E5">
      <w:pPr>
        <w:spacing w:line="240" w:lineRule="auto"/>
        <w:jc w:val="center"/>
        <w:rPr>
          <w:rFonts w:cs="Times New Roman"/>
          <w:szCs w:val="24"/>
        </w:rPr>
      </w:pPr>
      <w:r w:rsidRPr="00F067E5">
        <w:rPr>
          <w:rFonts w:cs="Times New Roman"/>
          <w:szCs w:val="24"/>
        </w:rPr>
        <w:t>Superintendente de Pensiones</w:t>
      </w:r>
    </w:p>
    <w:p w14:paraId="5F5B90DA" w14:textId="77777777" w:rsidR="0096014F" w:rsidRPr="00F067E5" w:rsidRDefault="0096014F" w:rsidP="00F067E5">
      <w:pPr>
        <w:spacing w:line="240" w:lineRule="auto"/>
        <w:rPr>
          <w:rFonts w:cs="Times New Roman"/>
          <w:szCs w:val="24"/>
        </w:rPr>
      </w:pPr>
    </w:p>
    <w:p w14:paraId="25BFFDFA" w14:textId="77777777" w:rsidR="0096014F" w:rsidRDefault="0096014F" w:rsidP="00F067E5">
      <w:pPr>
        <w:spacing w:line="240" w:lineRule="auto"/>
        <w:rPr>
          <w:rFonts w:cs="Times New Roman"/>
          <w:szCs w:val="24"/>
        </w:rPr>
      </w:pPr>
    </w:p>
    <w:p w14:paraId="56AE00D9" w14:textId="77777777" w:rsidR="005370B8" w:rsidRDefault="005370B8" w:rsidP="00F067E5">
      <w:pPr>
        <w:spacing w:line="240" w:lineRule="auto"/>
        <w:rPr>
          <w:rFonts w:cs="Times New Roman"/>
          <w:szCs w:val="24"/>
        </w:rPr>
      </w:pPr>
    </w:p>
    <w:p w14:paraId="2264B552" w14:textId="77777777" w:rsidR="005370B8" w:rsidRPr="00F067E5" w:rsidRDefault="005370B8" w:rsidP="00F067E5">
      <w:pPr>
        <w:spacing w:line="240" w:lineRule="auto"/>
        <w:rPr>
          <w:rFonts w:cs="Times New Roman"/>
          <w:szCs w:val="24"/>
        </w:rPr>
      </w:pPr>
    </w:p>
    <w:p w14:paraId="60164E18" w14:textId="3F19D255" w:rsidR="00204052" w:rsidRPr="005370B8" w:rsidRDefault="0096014F" w:rsidP="00F067E5">
      <w:pPr>
        <w:spacing w:line="240" w:lineRule="auto"/>
        <w:rPr>
          <w:rFonts w:cs="Times New Roman"/>
          <w:i/>
          <w:color w:val="000000" w:themeColor="text1"/>
          <w:sz w:val="20"/>
          <w:szCs w:val="20"/>
        </w:rPr>
      </w:pPr>
      <w:r w:rsidRPr="005370B8">
        <w:rPr>
          <w:rFonts w:cs="Times New Roman"/>
          <w:color w:val="000000" w:themeColor="text1"/>
          <w:sz w:val="20"/>
          <w:szCs w:val="20"/>
        </w:rPr>
        <w:t xml:space="preserve">Aprobado por </w:t>
      </w:r>
      <w:r w:rsidR="007D6985" w:rsidRPr="005370B8">
        <w:rPr>
          <w:rFonts w:cs="Times New Roman"/>
          <w:i/>
          <w:color w:val="000000" w:themeColor="text1"/>
          <w:sz w:val="20"/>
          <w:szCs w:val="20"/>
        </w:rPr>
        <w:t>DCL</w:t>
      </w:r>
      <w:r w:rsidR="00463722" w:rsidRPr="005370B8">
        <w:rPr>
          <w:rFonts w:cs="Times New Roman"/>
          <w:i/>
          <w:color w:val="000000" w:themeColor="text1"/>
          <w:sz w:val="20"/>
          <w:szCs w:val="20"/>
        </w:rPr>
        <w:t>/</w:t>
      </w:r>
      <w:r w:rsidR="007D6985" w:rsidRPr="005370B8">
        <w:rPr>
          <w:rFonts w:cs="Times New Roman"/>
          <w:i/>
          <w:color w:val="000000" w:themeColor="text1"/>
          <w:sz w:val="20"/>
          <w:szCs w:val="20"/>
        </w:rPr>
        <w:t>DSQ</w:t>
      </w:r>
    </w:p>
    <w:sectPr w:rsidR="00204052" w:rsidRPr="005370B8" w:rsidSect="00D029E6">
      <w:headerReference w:type="default" r:id="rId15"/>
      <w:footerReference w:type="even" r:id="rId16"/>
      <w:footerReference w:type="default" r:id="rId17"/>
      <w:headerReference w:type="first" r:id="rId18"/>
      <w:footerReference w:type="first" r:id="rId19"/>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E769" w14:textId="77777777" w:rsidR="00750C27" w:rsidRDefault="00750C27" w:rsidP="00011FAB">
      <w:pPr>
        <w:spacing w:line="240" w:lineRule="auto"/>
      </w:pPr>
      <w:r>
        <w:separator/>
      </w:r>
    </w:p>
  </w:endnote>
  <w:endnote w:type="continuationSeparator" w:id="0">
    <w:p w14:paraId="57DF4B21" w14:textId="77777777" w:rsidR="00750C27" w:rsidRDefault="00750C27" w:rsidP="00011FAB">
      <w:pPr>
        <w:spacing w:line="240" w:lineRule="auto"/>
      </w:pPr>
      <w:r>
        <w:continuationSeparator/>
      </w:r>
    </w:p>
  </w:endnote>
  <w:endnote w:type="continuationNotice" w:id="1">
    <w:p w14:paraId="65F71056" w14:textId="77777777" w:rsidR="00750C27" w:rsidRDefault="00750C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9DB6" w14:textId="77777777" w:rsidR="007712D3" w:rsidRDefault="007712D3">
    <w:pPr>
      <w:pStyle w:val="Piedepgina"/>
    </w:pPr>
    <w:r>
      <w:rPr>
        <w:noProof/>
      </w:rPr>
      <mc:AlternateContent>
        <mc:Choice Requires="wps">
          <w:drawing>
            <wp:anchor distT="0" distB="0" distL="0" distR="0" simplePos="0" relativeHeight="251658245" behindDoc="0" locked="0" layoutInCell="1" allowOverlap="1" wp14:anchorId="2942D375" wp14:editId="74268DE3">
              <wp:simplePos x="635" y="635"/>
              <wp:positionH relativeFrom="page">
                <wp:align>center</wp:align>
              </wp:positionH>
              <wp:positionV relativeFrom="page">
                <wp:align>bottom</wp:align>
              </wp:positionV>
              <wp:extent cx="609600" cy="422910"/>
              <wp:effectExtent l="0" t="0" r="0" b="0"/>
              <wp:wrapNone/>
              <wp:docPr id="895342710"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475DB56F" w14:textId="77777777" w:rsidR="007712D3" w:rsidRPr="007712D3" w:rsidRDefault="007712D3" w:rsidP="007712D3">
                          <w:pPr>
                            <w:rPr>
                              <w:rFonts w:ascii="Calibri" w:eastAsia="Calibri" w:hAnsi="Calibri" w:cs="Calibri"/>
                              <w:noProof/>
                              <w:color w:val="000000"/>
                              <w:sz w:val="20"/>
                              <w:szCs w:val="20"/>
                            </w:rPr>
                          </w:pPr>
                          <w:r w:rsidRPr="007712D3">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42D375"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475DB56F" w14:textId="77777777" w:rsidR="007712D3" w:rsidRPr="007712D3" w:rsidRDefault="007712D3" w:rsidP="007712D3">
                    <w:pPr>
                      <w:rPr>
                        <w:rFonts w:ascii="Calibri" w:eastAsia="Calibri" w:hAnsi="Calibri" w:cs="Calibri"/>
                        <w:noProof/>
                        <w:color w:val="000000"/>
                        <w:sz w:val="20"/>
                        <w:szCs w:val="20"/>
                      </w:rPr>
                    </w:pPr>
                    <w:r w:rsidRPr="007712D3">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270252"/>
      <w:docPartObj>
        <w:docPartGallery w:val="Page Numbers (Bottom of Page)"/>
        <w:docPartUnique/>
      </w:docPartObj>
    </w:sdtPr>
    <w:sdtEndPr/>
    <w:sdtContent>
      <w:sdt>
        <w:sdtPr>
          <w:id w:val="-1769616900"/>
          <w:docPartObj>
            <w:docPartGallery w:val="Page Numbers (Top of Page)"/>
            <w:docPartUnique/>
          </w:docPartObj>
        </w:sdtPr>
        <w:sdtEndPr/>
        <w:sdtContent>
          <w:p w14:paraId="19AFAB8D" w14:textId="77777777" w:rsidR="00497B3F" w:rsidRDefault="00497B3F">
            <w:pPr>
              <w:pStyle w:val="Piedepgina"/>
              <w:jc w:val="right"/>
            </w:pPr>
            <w:r>
              <w:t xml:space="preserve">Página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de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354F6B3" w14:textId="77777777" w:rsidR="009B3671" w:rsidRPr="00BE078A" w:rsidRDefault="009B3671" w:rsidP="00204052">
    <w:pPr>
      <w:pStyle w:val="Piedepgina"/>
      <w:pBdr>
        <w:top w:val="single" w:sz="4" w:space="1" w:color="auto"/>
      </w:pBd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668" w14:textId="77777777" w:rsidR="003621B6" w:rsidRDefault="007712D3"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7773B3E2" wp14:editId="3840F1DE">
              <wp:simplePos x="1076325" y="9239250"/>
              <wp:positionH relativeFrom="page">
                <wp:align>center</wp:align>
              </wp:positionH>
              <wp:positionV relativeFrom="page">
                <wp:align>bottom</wp:align>
              </wp:positionV>
              <wp:extent cx="609600" cy="422910"/>
              <wp:effectExtent l="0" t="0" r="0" b="0"/>
              <wp:wrapNone/>
              <wp:docPr id="1143357973"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3B783444" w14:textId="77777777" w:rsidR="007712D3" w:rsidRPr="007712D3" w:rsidRDefault="007712D3" w:rsidP="007712D3">
                          <w:pPr>
                            <w:rPr>
                              <w:rFonts w:ascii="Calibri" w:eastAsia="Calibri" w:hAnsi="Calibri" w:cs="Calibri"/>
                              <w:noProof/>
                              <w:color w:val="000000"/>
                              <w:sz w:val="20"/>
                              <w:szCs w:val="20"/>
                            </w:rPr>
                          </w:pPr>
                          <w:r w:rsidRPr="007712D3">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73B3E2" id="_x0000_t202" coordsize="21600,21600" o:spt="202" path="m,l,21600r21600,l21600,xe">
              <v:stroke joinstyle="miter"/>
              <v:path gradientshapeok="t" o:connecttype="rect"/>
            </v:shapetype>
            <v:shape id="Cuadro de texto 1" o:spid="_x0000_s1027" type="#_x0000_t202" alt="Uso Interno" style="position:absolute;margin-left:0;margin-top:0;width:48pt;height:33.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3B783444" w14:textId="77777777" w:rsidR="007712D3" w:rsidRPr="007712D3" w:rsidRDefault="007712D3" w:rsidP="007712D3">
                    <w:pPr>
                      <w:rPr>
                        <w:rFonts w:ascii="Calibri" w:eastAsia="Calibri" w:hAnsi="Calibri" w:cs="Calibri"/>
                        <w:noProof/>
                        <w:color w:val="000000"/>
                        <w:sz w:val="20"/>
                        <w:szCs w:val="20"/>
                      </w:rPr>
                    </w:pPr>
                    <w:r w:rsidRPr="007712D3">
                      <w:rPr>
                        <w:rFonts w:ascii="Calibri" w:eastAsia="Calibri" w:hAnsi="Calibri" w:cs="Calibri"/>
                        <w:noProof/>
                        <w:color w:val="000000"/>
                        <w:sz w:val="20"/>
                        <w:szCs w:val="20"/>
                      </w:rPr>
                      <w:t>Uso Interno</w:t>
                    </w:r>
                  </w:p>
                </w:txbxContent>
              </v:textbox>
              <w10:wrap anchorx="page" anchory="page"/>
            </v:shape>
          </w:pict>
        </mc:Fallback>
      </mc:AlternateContent>
    </w:r>
  </w:p>
  <w:p w14:paraId="0D79DD63"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EB0D" w14:textId="77777777" w:rsidR="00750C27" w:rsidRDefault="00750C27" w:rsidP="00011FAB">
      <w:pPr>
        <w:spacing w:line="240" w:lineRule="auto"/>
      </w:pPr>
      <w:r>
        <w:separator/>
      </w:r>
    </w:p>
  </w:footnote>
  <w:footnote w:type="continuationSeparator" w:id="0">
    <w:p w14:paraId="166E050B" w14:textId="77777777" w:rsidR="00750C27" w:rsidRDefault="00750C27" w:rsidP="00011FAB">
      <w:pPr>
        <w:spacing w:line="240" w:lineRule="auto"/>
      </w:pPr>
      <w:r>
        <w:continuationSeparator/>
      </w:r>
    </w:p>
  </w:footnote>
  <w:footnote w:type="continuationNotice" w:id="1">
    <w:p w14:paraId="243ED75E" w14:textId="77777777" w:rsidR="00750C27" w:rsidRDefault="00750C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DC4B" w14:textId="77777777"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63872985" w14:textId="77777777" w:rsidR="00D766AB" w:rsidRDefault="00D766AB" w:rsidP="00D766AB">
    <w:pPr>
      <w:pStyle w:val="Encabezado"/>
    </w:pPr>
    <w:r>
      <w:tab/>
    </w:r>
    <w:r>
      <w:tab/>
    </w:r>
  </w:p>
  <w:p w14:paraId="5350D252" w14:textId="77777777" w:rsidR="00D766AB" w:rsidRDefault="00D766AB" w:rsidP="00D766AB">
    <w:pPr>
      <w:pStyle w:val="Encabezado"/>
    </w:pPr>
  </w:p>
  <w:p w14:paraId="5EA1690E" w14:textId="77777777" w:rsidR="0075244F" w:rsidRPr="00310D45" w:rsidRDefault="0075244F" w:rsidP="00D766AB">
    <w:pPr>
      <w:pStyle w:val="Encabezado"/>
    </w:pPr>
  </w:p>
  <w:p w14:paraId="7148330C" w14:textId="40005EC2"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716972">
      <w:rPr>
        <w:b/>
        <w:i/>
        <w:noProof/>
        <w:szCs w:val="24"/>
      </w:rPr>
      <w:t>SP-A-290-2025</w:t>
    </w:r>
    <w:r w:rsidRPr="00092B79">
      <w:rPr>
        <w:b/>
        <w:i/>
        <w:noProof/>
        <w:szCs w:val="24"/>
      </w:rPr>
      <w:fldChar w:fldCharType="end"/>
    </w:r>
  </w:p>
  <w:p w14:paraId="79DB41F3"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6B7E0B60"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970C" w14:textId="7777777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09AF7537" w14:textId="77777777"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1525"/>
    <w:multiLevelType w:val="hybridMultilevel"/>
    <w:tmpl w:val="CBF27DD0"/>
    <w:lvl w:ilvl="0" w:tplc="5F38485E">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DC4C7F"/>
    <w:multiLevelType w:val="hybridMultilevel"/>
    <w:tmpl w:val="AE50CF6C"/>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183B93"/>
    <w:multiLevelType w:val="hybridMultilevel"/>
    <w:tmpl w:val="77F218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5C970CA"/>
    <w:multiLevelType w:val="hybridMultilevel"/>
    <w:tmpl w:val="8B50219A"/>
    <w:lvl w:ilvl="0" w:tplc="5F38485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565B16"/>
    <w:multiLevelType w:val="hybridMultilevel"/>
    <w:tmpl w:val="DC146408"/>
    <w:lvl w:ilvl="0" w:tplc="5F38485E">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5E57FD"/>
    <w:multiLevelType w:val="hybridMultilevel"/>
    <w:tmpl w:val="A41C4CEE"/>
    <w:lvl w:ilvl="0" w:tplc="5F38485E">
      <w:start w:val="1"/>
      <w:numFmt w:val="decimal"/>
      <w:lvlText w:val="%1."/>
      <w:lvlJc w:val="left"/>
      <w:pPr>
        <w:ind w:left="467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07E367B"/>
    <w:multiLevelType w:val="hybridMultilevel"/>
    <w:tmpl w:val="11BCD77A"/>
    <w:lvl w:ilvl="0" w:tplc="14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A97173"/>
    <w:multiLevelType w:val="hybridMultilevel"/>
    <w:tmpl w:val="CE5C17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6C272C4"/>
    <w:multiLevelType w:val="hybridMultilevel"/>
    <w:tmpl w:val="2410ED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C3E6454"/>
    <w:multiLevelType w:val="hybridMultilevel"/>
    <w:tmpl w:val="8986429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CCE65BF"/>
    <w:multiLevelType w:val="hybridMultilevel"/>
    <w:tmpl w:val="4BA6A382"/>
    <w:lvl w:ilvl="0" w:tplc="FA4489A6">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42F1257"/>
    <w:multiLevelType w:val="hybridMultilevel"/>
    <w:tmpl w:val="4E36CAEA"/>
    <w:lvl w:ilvl="0" w:tplc="03504B5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7F3655"/>
    <w:multiLevelType w:val="hybridMultilevel"/>
    <w:tmpl w:val="43349D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3872362"/>
    <w:multiLevelType w:val="hybridMultilevel"/>
    <w:tmpl w:val="8040B30A"/>
    <w:lvl w:ilvl="0" w:tplc="1C1E0A34">
      <w:start w:val="1"/>
      <w:numFmt w:val="decimal"/>
      <w:lvlText w:val="%1)"/>
      <w:lvlJc w:val="left"/>
      <w:pPr>
        <w:ind w:left="720" w:hanging="360"/>
      </w:pPr>
      <w:rPr>
        <w:rFonts w:hint="default"/>
        <w:i w:val="0"/>
        <w:iCs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A606EC7"/>
    <w:multiLevelType w:val="hybridMultilevel"/>
    <w:tmpl w:val="108069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E5666E5"/>
    <w:multiLevelType w:val="hybridMultilevel"/>
    <w:tmpl w:val="76864C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0462F29"/>
    <w:multiLevelType w:val="hybridMultilevel"/>
    <w:tmpl w:val="D7CE7D3A"/>
    <w:lvl w:ilvl="0" w:tplc="29FE8044">
      <w:start w:val="1"/>
      <w:numFmt w:val="decimal"/>
      <w:lvlText w:val="%1."/>
      <w:lvlJc w:val="left"/>
      <w:pPr>
        <w:ind w:left="72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7700D73"/>
    <w:multiLevelType w:val="hybridMultilevel"/>
    <w:tmpl w:val="3126E1C2"/>
    <w:lvl w:ilvl="0" w:tplc="FA4489A6">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8B46818"/>
    <w:multiLevelType w:val="hybridMultilevel"/>
    <w:tmpl w:val="43D819BC"/>
    <w:lvl w:ilvl="0" w:tplc="140A0011">
      <w:start w:val="1"/>
      <w:numFmt w:val="decimal"/>
      <w:lvlText w:val="%1)"/>
      <w:lvlJc w:val="left"/>
      <w:pPr>
        <w:ind w:left="4675" w:hanging="705"/>
      </w:pPr>
      <w:rPr>
        <w:rFonts w:hint="default"/>
      </w:rPr>
    </w:lvl>
    <w:lvl w:ilvl="1" w:tplc="140A0019" w:tentative="1">
      <w:start w:val="1"/>
      <w:numFmt w:val="lowerLetter"/>
      <w:lvlText w:val="%2."/>
      <w:lvlJc w:val="left"/>
      <w:pPr>
        <w:ind w:left="5050" w:hanging="360"/>
      </w:pPr>
    </w:lvl>
    <w:lvl w:ilvl="2" w:tplc="140A001B" w:tentative="1">
      <w:start w:val="1"/>
      <w:numFmt w:val="lowerRoman"/>
      <w:lvlText w:val="%3."/>
      <w:lvlJc w:val="right"/>
      <w:pPr>
        <w:ind w:left="5770" w:hanging="180"/>
      </w:pPr>
    </w:lvl>
    <w:lvl w:ilvl="3" w:tplc="140A000F" w:tentative="1">
      <w:start w:val="1"/>
      <w:numFmt w:val="decimal"/>
      <w:lvlText w:val="%4."/>
      <w:lvlJc w:val="left"/>
      <w:pPr>
        <w:ind w:left="6490" w:hanging="360"/>
      </w:pPr>
    </w:lvl>
    <w:lvl w:ilvl="4" w:tplc="140A0019" w:tentative="1">
      <w:start w:val="1"/>
      <w:numFmt w:val="lowerLetter"/>
      <w:lvlText w:val="%5."/>
      <w:lvlJc w:val="left"/>
      <w:pPr>
        <w:ind w:left="7210" w:hanging="360"/>
      </w:pPr>
    </w:lvl>
    <w:lvl w:ilvl="5" w:tplc="140A001B" w:tentative="1">
      <w:start w:val="1"/>
      <w:numFmt w:val="lowerRoman"/>
      <w:lvlText w:val="%6."/>
      <w:lvlJc w:val="right"/>
      <w:pPr>
        <w:ind w:left="7930" w:hanging="180"/>
      </w:pPr>
    </w:lvl>
    <w:lvl w:ilvl="6" w:tplc="140A000F" w:tentative="1">
      <w:start w:val="1"/>
      <w:numFmt w:val="decimal"/>
      <w:lvlText w:val="%7."/>
      <w:lvlJc w:val="left"/>
      <w:pPr>
        <w:ind w:left="8650" w:hanging="360"/>
      </w:pPr>
    </w:lvl>
    <w:lvl w:ilvl="7" w:tplc="140A0019" w:tentative="1">
      <w:start w:val="1"/>
      <w:numFmt w:val="lowerLetter"/>
      <w:lvlText w:val="%8."/>
      <w:lvlJc w:val="left"/>
      <w:pPr>
        <w:ind w:left="9370" w:hanging="360"/>
      </w:pPr>
    </w:lvl>
    <w:lvl w:ilvl="8" w:tplc="140A001B" w:tentative="1">
      <w:start w:val="1"/>
      <w:numFmt w:val="lowerRoman"/>
      <w:lvlText w:val="%9."/>
      <w:lvlJc w:val="right"/>
      <w:pPr>
        <w:ind w:left="10090" w:hanging="180"/>
      </w:pPr>
    </w:lvl>
  </w:abstractNum>
  <w:num w:numId="1" w16cid:durableId="1942109362">
    <w:abstractNumId w:val="8"/>
  </w:num>
  <w:num w:numId="2" w16cid:durableId="50081592">
    <w:abstractNumId w:val="0"/>
  </w:num>
  <w:num w:numId="3" w16cid:durableId="450442239">
    <w:abstractNumId w:val="18"/>
  </w:num>
  <w:num w:numId="4" w16cid:durableId="315502014">
    <w:abstractNumId w:val="2"/>
  </w:num>
  <w:num w:numId="5" w16cid:durableId="320619777">
    <w:abstractNumId w:val="4"/>
  </w:num>
  <w:num w:numId="6" w16cid:durableId="1270239339">
    <w:abstractNumId w:val="14"/>
  </w:num>
  <w:num w:numId="7" w16cid:durableId="859781575">
    <w:abstractNumId w:val="3"/>
  </w:num>
  <w:num w:numId="8" w16cid:durableId="1264652817">
    <w:abstractNumId w:val="9"/>
  </w:num>
  <w:num w:numId="9" w16cid:durableId="1581022012">
    <w:abstractNumId w:val="17"/>
  </w:num>
  <w:num w:numId="10" w16cid:durableId="161626220">
    <w:abstractNumId w:val="10"/>
  </w:num>
  <w:num w:numId="11" w16cid:durableId="393091283">
    <w:abstractNumId w:val="5"/>
  </w:num>
  <w:num w:numId="12" w16cid:durableId="882013494">
    <w:abstractNumId w:val="15"/>
  </w:num>
  <w:num w:numId="13" w16cid:durableId="1493333812">
    <w:abstractNumId w:val="12"/>
  </w:num>
  <w:num w:numId="14" w16cid:durableId="347101155">
    <w:abstractNumId w:val="7"/>
  </w:num>
  <w:num w:numId="15" w16cid:durableId="1878617070">
    <w:abstractNumId w:val="16"/>
  </w:num>
  <w:num w:numId="16" w16cid:durableId="1442994022">
    <w:abstractNumId w:val="11"/>
  </w:num>
  <w:num w:numId="17" w16cid:durableId="546992252">
    <w:abstractNumId w:val="1"/>
  </w:num>
  <w:num w:numId="18" w16cid:durableId="955677590">
    <w:abstractNumId w:val="6"/>
  </w:num>
  <w:num w:numId="19" w16cid:durableId="1932155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12324"/>
    <w:rsid w:val="00013ADE"/>
    <w:rsid w:val="000158C3"/>
    <w:rsid w:val="00016908"/>
    <w:rsid w:val="00021ADD"/>
    <w:rsid w:val="00021F2A"/>
    <w:rsid w:val="00021FDB"/>
    <w:rsid w:val="000232E5"/>
    <w:rsid w:val="00041856"/>
    <w:rsid w:val="000421CB"/>
    <w:rsid w:val="000526ED"/>
    <w:rsid w:val="0005791C"/>
    <w:rsid w:val="0006650E"/>
    <w:rsid w:val="00072B55"/>
    <w:rsid w:val="00073D27"/>
    <w:rsid w:val="0008410F"/>
    <w:rsid w:val="00084223"/>
    <w:rsid w:val="0009169D"/>
    <w:rsid w:val="00092B79"/>
    <w:rsid w:val="00092C51"/>
    <w:rsid w:val="00093DCA"/>
    <w:rsid w:val="00095A2B"/>
    <w:rsid w:val="000B025C"/>
    <w:rsid w:val="000B7A80"/>
    <w:rsid w:val="000E1DA1"/>
    <w:rsid w:val="000E1F2D"/>
    <w:rsid w:val="000F20BC"/>
    <w:rsid w:val="000F4A8A"/>
    <w:rsid w:val="000F575B"/>
    <w:rsid w:val="001010B3"/>
    <w:rsid w:val="001024F4"/>
    <w:rsid w:val="00107ED5"/>
    <w:rsid w:val="00112A63"/>
    <w:rsid w:val="00121FB8"/>
    <w:rsid w:val="00132D35"/>
    <w:rsid w:val="00152F2A"/>
    <w:rsid w:val="00156D6A"/>
    <w:rsid w:val="001572C1"/>
    <w:rsid w:val="00182810"/>
    <w:rsid w:val="00197BF7"/>
    <w:rsid w:val="001B67E6"/>
    <w:rsid w:val="001C739C"/>
    <w:rsid w:val="001D18BF"/>
    <w:rsid w:val="001D3394"/>
    <w:rsid w:val="00204052"/>
    <w:rsid w:val="002073B7"/>
    <w:rsid w:val="00210FED"/>
    <w:rsid w:val="00217A7A"/>
    <w:rsid w:val="002257D1"/>
    <w:rsid w:val="00261F6E"/>
    <w:rsid w:val="00262F5C"/>
    <w:rsid w:val="0026796D"/>
    <w:rsid w:val="0027374F"/>
    <w:rsid w:val="00277C51"/>
    <w:rsid w:val="002829CB"/>
    <w:rsid w:val="00291B81"/>
    <w:rsid w:val="00295482"/>
    <w:rsid w:val="002A1CF8"/>
    <w:rsid w:val="002A3368"/>
    <w:rsid w:val="002A4951"/>
    <w:rsid w:val="002B2A8A"/>
    <w:rsid w:val="002C4C8C"/>
    <w:rsid w:val="002D6254"/>
    <w:rsid w:val="002F0201"/>
    <w:rsid w:val="002F0CD8"/>
    <w:rsid w:val="002F4AF4"/>
    <w:rsid w:val="00303B4A"/>
    <w:rsid w:val="00305A02"/>
    <w:rsid w:val="00305EDC"/>
    <w:rsid w:val="00310D45"/>
    <w:rsid w:val="003155C5"/>
    <w:rsid w:val="0031679D"/>
    <w:rsid w:val="003262D5"/>
    <w:rsid w:val="00331268"/>
    <w:rsid w:val="00333AAB"/>
    <w:rsid w:val="00336A1F"/>
    <w:rsid w:val="00336BF1"/>
    <w:rsid w:val="00342E6F"/>
    <w:rsid w:val="00347408"/>
    <w:rsid w:val="00347829"/>
    <w:rsid w:val="00350291"/>
    <w:rsid w:val="00352584"/>
    <w:rsid w:val="0035286A"/>
    <w:rsid w:val="00356774"/>
    <w:rsid w:val="003621B6"/>
    <w:rsid w:val="00364953"/>
    <w:rsid w:val="00366841"/>
    <w:rsid w:val="00377CEE"/>
    <w:rsid w:val="003812EC"/>
    <w:rsid w:val="003814C5"/>
    <w:rsid w:val="00387CD6"/>
    <w:rsid w:val="003A06F4"/>
    <w:rsid w:val="003A1590"/>
    <w:rsid w:val="003B667F"/>
    <w:rsid w:val="003D3036"/>
    <w:rsid w:val="003D35CA"/>
    <w:rsid w:val="003D58B3"/>
    <w:rsid w:val="003E3216"/>
    <w:rsid w:val="003F2BA8"/>
    <w:rsid w:val="00402A8B"/>
    <w:rsid w:val="00402BA0"/>
    <w:rsid w:val="00413B95"/>
    <w:rsid w:val="00421E84"/>
    <w:rsid w:val="00424C39"/>
    <w:rsid w:val="0042790D"/>
    <w:rsid w:val="00427B01"/>
    <w:rsid w:val="00432490"/>
    <w:rsid w:val="00435E3D"/>
    <w:rsid w:val="004377AB"/>
    <w:rsid w:val="0045287A"/>
    <w:rsid w:val="0045346E"/>
    <w:rsid w:val="004565B1"/>
    <w:rsid w:val="00463722"/>
    <w:rsid w:val="00464393"/>
    <w:rsid w:val="00477218"/>
    <w:rsid w:val="00483353"/>
    <w:rsid w:val="00484927"/>
    <w:rsid w:val="00497B3F"/>
    <w:rsid w:val="004A2C15"/>
    <w:rsid w:val="004B01DB"/>
    <w:rsid w:val="004B0D80"/>
    <w:rsid w:val="004B3D1D"/>
    <w:rsid w:val="004E0C03"/>
    <w:rsid w:val="004E6072"/>
    <w:rsid w:val="004F21B2"/>
    <w:rsid w:val="0050511E"/>
    <w:rsid w:val="00507921"/>
    <w:rsid w:val="00510B84"/>
    <w:rsid w:val="00520A66"/>
    <w:rsid w:val="00533D4B"/>
    <w:rsid w:val="005370B8"/>
    <w:rsid w:val="005429B7"/>
    <w:rsid w:val="005476EF"/>
    <w:rsid w:val="005567B1"/>
    <w:rsid w:val="00561427"/>
    <w:rsid w:val="005614AD"/>
    <w:rsid w:val="0056365F"/>
    <w:rsid w:val="0058753F"/>
    <w:rsid w:val="0059081B"/>
    <w:rsid w:val="00594A6E"/>
    <w:rsid w:val="005A1255"/>
    <w:rsid w:val="005A55A4"/>
    <w:rsid w:val="005B0F22"/>
    <w:rsid w:val="005C18F6"/>
    <w:rsid w:val="005D0E59"/>
    <w:rsid w:val="005D2470"/>
    <w:rsid w:val="005D475F"/>
    <w:rsid w:val="005E4A8B"/>
    <w:rsid w:val="00611CBA"/>
    <w:rsid w:val="00617782"/>
    <w:rsid w:val="00621251"/>
    <w:rsid w:val="00630614"/>
    <w:rsid w:val="006321A5"/>
    <w:rsid w:val="006334E7"/>
    <w:rsid w:val="00646A48"/>
    <w:rsid w:val="00662726"/>
    <w:rsid w:val="0067350A"/>
    <w:rsid w:val="00674331"/>
    <w:rsid w:val="0067500D"/>
    <w:rsid w:val="006803D3"/>
    <w:rsid w:val="00681E79"/>
    <w:rsid w:val="00687377"/>
    <w:rsid w:val="0069087E"/>
    <w:rsid w:val="006A26F5"/>
    <w:rsid w:val="006B06F9"/>
    <w:rsid w:val="006B6689"/>
    <w:rsid w:val="006C47F8"/>
    <w:rsid w:val="006C5791"/>
    <w:rsid w:val="006D3124"/>
    <w:rsid w:val="006D417D"/>
    <w:rsid w:val="006D5B49"/>
    <w:rsid w:val="006F5308"/>
    <w:rsid w:val="006F787D"/>
    <w:rsid w:val="00704372"/>
    <w:rsid w:val="00716972"/>
    <w:rsid w:val="00722522"/>
    <w:rsid w:val="00732D8B"/>
    <w:rsid w:val="00733397"/>
    <w:rsid w:val="0074250E"/>
    <w:rsid w:val="00750C27"/>
    <w:rsid w:val="0075244F"/>
    <w:rsid w:val="007603FA"/>
    <w:rsid w:val="007614E0"/>
    <w:rsid w:val="00762E69"/>
    <w:rsid w:val="00763296"/>
    <w:rsid w:val="00765FEE"/>
    <w:rsid w:val="0076656D"/>
    <w:rsid w:val="0077000F"/>
    <w:rsid w:val="007712D3"/>
    <w:rsid w:val="00772716"/>
    <w:rsid w:val="0077353A"/>
    <w:rsid w:val="007852C0"/>
    <w:rsid w:val="0078725C"/>
    <w:rsid w:val="0079478E"/>
    <w:rsid w:val="00795B2C"/>
    <w:rsid w:val="007B253B"/>
    <w:rsid w:val="007B6489"/>
    <w:rsid w:val="007C78AD"/>
    <w:rsid w:val="007D6985"/>
    <w:rsid w:val="007D711F"/>
    <w:rsid w:val="007D7A8C"/>
    <w:rsid w:val="007E7168"/>
    <w:rsid w:val="008051AB"/>
    <w:rsid w:val="00822F22"/>
    <w:rsid w:val="008254B1"/>
    <w:rsid w:val="00826EC1"/>
    <w:rsid w:val="008308B4"/>
    <w:rsid w:val="00832382"/>
    <w:rsid w:val="00832585"/>
    <w:rsid w:val="0083674F"/>
    <w:rsid w:val="0083680B"/>
    <w:rsid w:val="00841E75"/>
    <w:rsid w:val="00851CCD"/>
    <w:rsid w:val="00874753"/>
    <w:rsid w:val="00880DB4"/>
    <w:rsid w:val="00883CCF"/>
    <w:rsid w:val="008A0779"/>
    <w:rsid w:val="008A098B"/>
    <w:rsid w:val="008A5003"/>
    <w:rsid w:val="008A7E37"/>
    <w:rsid w:val="008B5141"/>
    <w:rsid w:val="008D0DDE"/>
    <w:rsid w:val="008D413B"/>
    <w:rsid w:val="008D4DD6"/>
    <w:rsid w:val="008E076A"/>
    <w:rsid w:val="008E7D4F"/>
    <w:rsid w:val="008F5394"/>
    <w:rsid w:val="009332DB"/>
    <w:rsid w:val="00952852"/>
    <w:rsid w:val="009536A5"/>
    <w:rsid w:val="00956933"/>
    <w:rsid w:val="00956945"/>
    <w:rsid w:val="0096014F"/>
    <w:rsid w:val="00962D10"/>
    <w:rsid w:val="00967B19"/>
    <w:rsid w:val="009738CE"/>
    <w:rsid w:val="0097781A"/>
    <w:rsid w:val="00980E25"/>
    <w:rsid w:val="0099126E"/>
    <w:rsid w:val="009913CA"/>
    <w:rsid w:val="00991F3E"/>
    <w:rsid w:val="00992AA5"/>
    <w:rsid w:val="0099425B"/>
    <w:rsid w:val="009B3671"/>
    <w:rsid w:val="009B475A"/>
    <w:rsid w:val="009C7338"/>
    <w:rsid w:val="009E11F1"/>
    <w:rsid w:val="009E4D73"/>
    <w:rsid w:val="009E6DB2"/>
    <w:rsid w:val="009F7C79"/>
    <w:rsid w:val="00A0168D"/>
    <w:rsid w:val="00A032A9"/>
    <w:rsid w:val="00A07B99"/>
    <w:rsid w:val="00A1061A"/>
    <w:rsid w:val="00A21ED8"/>
    <w:rsid w:val="00A241E6"/>
    <w:rsid w:val="00A25DD1"/>
    <w:rsid w:val="00A30AAA"/>
    <w:rsid w:val="00A329AB"/>
    <w:rsid w:val="00A44C99"/>
    <w:rsid w:val="00A44E41"/>
    <w:rsid w:val="00A47569"/>
    <w:rsid w:val="00A4778B"/>
    <w:rsid w:val="00A60740"/>
    <w:rsid w:val="00A60911"/>
    <w:rsid w:val="00A62854"/>
    <w:rsid w:val="00A80CE3"/>
    <w:rsid w:val="00AB116C"/>
    <w:rsid w:val="00AB5613"/>
    <w:rsid w:val="00AC1F6B"/>
    <w:rsid w:val="00AD0FD8"/>
    <w:rsid w:val="00AD10D3"/>
    <w:rsid w:val="00AD3E38"/>
    <w:rsid w:val="00AE3C77"/>
    <w:rsid w:val="00AE4055"/>
    <w:rsid w:val="00AF32B2"/>
    <w:rsid w:val="00AF3B9B"/>
    <w:rsid w:val="00AF7580"/>
    <w:rsid w:val="00AF7779"/>
    <w:rsid w:val="00B140FA"/>
    <w:rsid w:val="00B14972"/>
    <w:rsid w:val="00B20060"/>
    <w:rsid w:val="00B225F9"/>
    <w:rsid w:val="00B231E0"/>
    <w:rsid w:val="00B34419"/>
    <w:rsid w:val="00B47C35"/>
    <w:rsid w:val="00B62C0A"/>
    <w:rsid w:val="00B65E0E"/>
    <w:rsid w:val="00B67B06"/>
    <w:rsid w:val="00B73CC4"/>
    <w:rsid w:val="00B81236"/>
    <w:rsid w:val="00B849CB"/>
    <w:rsid w:val="00B9012B"/>
    <w:rsid w:val="00BA2152"/>
    <w:rsid w:val="00BB01B2"/>
    <w:rsid w:val="00BD5F5A"/>
    <w:rsid w:val="00BE078A"/>
    <w:rsid w:val="00BE0976"/>
    <w:rsid w:val="00BE5986"/>
    <w:rsid w:val="00BF0E53"/>
    <w:rsid w:val="00C015B1"/>
    <w:rsid w:val="00C167BB"/>
    <w:rsid w:val="00C176C2"/>
    <w:rsid w:val="00C36DCE"/>
    <w:rsid w:val="00C50091"/>
    <w:rsid w:val="00C7198C"/>
    <w:rsid w:val="00C806DD"/>
    <w:rsid w:val="00C81F7E"/>
    <w:rsid w:val="00C832F1"/>
    <w:rsid w:val="00C870C4"/>
    <w:rsid w:val="00C90A71"/>
    <w:rsid w:val="00CA16C2"/>
    <w:rsid w:val="00CB0EAF"/>
    <w:rsid w:val="00CC0335"/>
    <w:rsid w:val="00CC24BF"/>
    <w:rsid w:val="00CD5928"/>
    <w:rsid w:val="00CF51F2"/>
    <w:rsid w:val="00D029E6"/>
    <w:rsid w:val="00D0661A"/>
    <w:rsid w:val="00D17B39"/>
    <w:rsid w:val="00D350B3"/>
    <w:rsid w:val="00D3650B"/>
    <w:rsid w:val="00D440C1"/>
    <w:rsid w:val="00D44454"/>
    <w:rsid w:val="00D61945"/>
    <w:rsid w:val="00D766AB"/>
    <w:rsid w:val="00D80206"/>
    <w:rsid w:val="00D86CC1"/>
    <w:rsid w:val="00D90D41"/>
    <w:rsid w:val="00D944EC"/>
    <w:rsid w:val="00DA5F5C"/>
    <w:rsid w:val="00DB00EF"/>
    <w:rsid w:val="00DC38D9"/>
    <w:rsid w:val="00DD71EE"/>
    <w:rsid w:val="00DD729A"/>
    <w:rsid w:val="00DE2F7D"/>
    <w:rsid w:val="00DE3C5E"/>
    <w:rsid w:val="00DF1A48"/>
    <w:rsid w:val="00DF2C07"/>
    <w:rsid w:val="00DF56B9"/>
    <w:rsid w:val="00E112B3"/>
    <w:rsid w:val="00E31E2D"/>
    <w:rsid w:val="00E41C50"/>
    <w:rsid w:val="00E42EFF"/>
    <w:rsid w:val="00E73E49"/>
    <w:rsid w:val="00E95D96"/>
    <w:rsid w:val="00EA0753"/>
    <w:rsid w:val="00EA1A49"/>
    <w:rsid w:val="00EA27FD"/>
    <w:rsid w:val="00EC1B04"/>
    <w:rsid w:val="00EC410F"/>
    <w:rsid w:val="00EE58B8"/>
    <w:rsid w:val="00EF034D"/>
    <w:rsid w:val="00EF04B3"/>
    <w:rsid w:val="00F047F8"/>
    <w:rsid w:val="00F064B3"/>
    <w:rsid w:val="00F067E5"/>
    <w:rsid w:val="00F206BF"/>
    <w:rsid w:val="00F36F7F"/>
    <w:rsid w:val="00F432E8"/>
    <w:rsid w:val="00F44087"/>
    <w:rsid w:val="00F45755"/>
    <w:rsid w:val="00F51952"/>
    <w:rsid w:val="00F560CF"/>
    <w:rsid w:val="00F57041"/>
    <w:rsid w:val="00F7760F"/>
    <w:rsid w:val="00F80CB2"/>
    <w:rsid w:val="00F80FC5"/>
    <w:rsid w:val="00F82CD2"/>
    <w:rsid w:val="00FB0A96"/>
    <w:rsid w:val="00FC4D11"/>
    <w:rsid w:val="00FD1E9A"/>
    <w:rsid w:val="00FF7142"/>
    <w:rsid w:val="02B7E871"/>
    <w:rsid w:val="033BD6E6"/>
    <w:rsid w:val="036C4F4D"/>
    <w:rsid w:val="03C454D5"/>
    <w:rsid w:val="04E4D12F"/>
    <w:rsid w:val="093F5562"/>
    <w:rsid w:val="0C9A3875"/>
    <w:rsid w:val="0E5C950B"/>
    <w:rsid w:val="10D619B6"/>
    <w:rsid w:val="135ED198"/>
    <w:rsid w:val="14887E07"/>
    <w:rsid w:val="16E32924"/>
    <w:rsid w:val="17DCB79F"/>
    <w:rsid w:val="19BE533E"/>
    <w:rsid w:val="19FB13C4"/>
    <w:rsid w:val="1A61C75D"/>
    <w:rsid w:val="1C778C97"/>
    <w:rsid w:val="20EAE0F2"/>
    <w:rsid w:val="21D37EA2"/>
    <w:rsid w:val="26733A63"/>
    <w:rsid w:val="26DE3525"/>
    <w:rsid w:val="28913137"/>
    <w:rsid w:val="29975D97"/>
    <w:rsid w:val="2A50F87F"/>
    <w:rsid w:val="2B0FC34F"/>
    <w:rsid w:val="2D037DB8"/>
    <w:rsid w:val="319D5B9B"/>
    <w:rsid w:val="31C8B75B"/>
    <w:rsid w:val="3B32A09B"/>
    <w:rsid w:val="3F3CCFDC"/>
    <w:rsid w:val="3FEC30DF"/>
    <w:rsid w:val="4363A2D5"/>
    <w:rsid w:val="43BE1932"/>
    <w:rsid w:val="456D3E11"/>
    <w:rsid w:val="45C636EF"/>
    <w:rsid w:val="4B7FB66B"/>
    <w:rsid w:val="4EC8E641"/>
    <w:rsid w:val="52C0840C"/>
    <w:rsid w:val="531339DE"/>
    <w:rsid w:val="5FD0A0D3"/>
    <w:rsid w:val="607B8DD4"/>
    <w:rsid w:val="61CA53D8"/>
    <w:rsid w:val="652866CA"/>
    <w:rsid w:val="66D9D44B"/>
    <w:rsid w:val="67030777"/>
    <w:rsid w:val="6AB5766E"/>
    <w:rsid w:val="73756C6A"/>
    <w:rsid w:val="744ADBB1"/>
    <w:rsid w:val="772CEAEF"/>
    <w:rsid w:val="78F6CD98"/>
    <w:rsid w:val="798D70AC"/>
    <w:rsid w:val="7A98B212"/>
    <w:rsid w:val="7E737A0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5370B8"/>
    <w:pPr>
      <w:spacing w:after="0" w:line="240" w:lineRule="auto"/>
      <w:jc w:val="center"/>
    </w:pPr>
    <w:rPr>
      <w:rFonts w:ascii="Times New Roman" w:hAnsi="Times New Roman" w:cs="Times New Roman"/>
      <w:b/>
      <w:bCs/>
      <w:i/>
      <w:iCs/>
      <w:sz w:val="24"/>
      <w:szCs w:val="24"/>
    </w:rPr>
  </w:style>
  <w:style w:type="character" w:customStyle="1" w:styleId="SupenEncabezadoCar">
    <w:name w:val="Supen_Encabezado Car"/>
    <w:basedOn w:val="Fuentedeprrafopredeter"/>
    <w:link w:val="SupenEncabezado"/>
    <w:rsid w:val="005370B8"/>
    <w:rPr>
      <w:rFonts w:ascii="Times New Roman" w:hAnsi="Times New Roman" w:cs="Times New Roman"/>
      <w:b/>
      <w:bCs/>
      <w:i/>
      <w:iCs/>
      <w:sz w:val="24"/>
      <w:szCs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712D3"/>
    <w:pPr>
      <w:ind w:left="720"/>
      <w:contextualSpacing/>
    </w:pPr>
  </w:style>
  <w:style w:type="paragraph" w:styleId="Revisin">
    <w:name w:val="Revision"/>
    <w:hidden/>
    <w:uiPriority w:val="99"/>
    <w:semiHidden/>
    <w:rsid w:val="00152F2A"/>
    <w:pPr>
      <w:spacing w:after="0" w:line="240" w:lineRule="auto"/>
    </w:pPr>
    <w:rPr>
      <w:rFonts w:ascii="Times New Roman" w:hAnsi="Times New Roman"/>
      <w:sz w:val="24"/>
    </w:rPr>
  </w:style>
  <w:style w:type="table" w:styleId="Tablaconcuadrcula4-nfasis5">
    <w:name w:val="Grid Table 4 Accent 5"/>
    <w:basedOn w:val="Tablanormal"/>
    <w:uiPriority w:val="49"/>
    <w:rsid w:val="00C176C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ario">
    <w:name w:val="annotation reference"/>
    <w:basedOn w:val="Fuentedeprrafopredeter"/>
    <w:uiPriority w:val="99"/>
    <w:semiHidden/>
    <w:unhideWhenUsed/>
    <w:rsid w:val="00084223"/>
    <w:rPr>
      <w:sz w:val="16"/>
      <w:szCs w:val="16"/>
    </w:rPr>
  </w:style>
  <w:style w:type="paragraph" w:styleId="Textocomentario">
    <w:name w:val="annotation text"/>
    <w:basedOn w:val="Normal"/>
    <w:link w:val="TextocomentarioCar"/>
    <w:uiPriority w:val="99"/>
    <w:unhideWhenUsed/>
    <w:rsid w:val="00084223"/>
    <w:pPr>
      <w:spacing w:line="240" w:lineRule="auto"/>
    </w:pPr>
    <w:rPr>
      <w:sz w:val="20"/>
      <w:szCs w:val="20"/>
    </w:rPr>
  </w:style>
  <w:style w:type="character" w:customStyle="1" w:styleId="TextocomentarioCar">
    <w:name w:val="Texto comentario Car"/>
    <w:basedOn w:val="Fuentedeprrafopredeter"/>
    <w:link w:val="Textocomentario"/>
    <w:uiPriority w:val="99"/>
    <w:rsid w:val="00084223"/>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084223"/>
    <w:rPr>
      <w:b/>
      <w:bCs/>
    </w:rPr>
  </w:style>
  <w:style w:type="character" w:customStyle="1" w:styleId="AsuntodelcomentarioCar">
    <w:name w:val="Asunto del comentario Car"/>
    <w:basedOn w:val="TextocomentarioCar"/>
    <w:link w:val="Asuntodelcomentario"/>
    <w:uiPriority w:val="99"/>
    <w:semiHidden/>
    <w:rsid w:val="00084223"/>
    <w:rPr>
      <w:rFonts w:ascii="Times New Roman" w:hAnsi="Times New Roman"/>
      <w:b/>
      <w:bCs/>
      <w:sz w:val="20"/>
      <w:szCs w:val="20"/>
    </w:rPr>
  </w:style>
  <w:style w:type="table" w:styleId="Tabladelista3">
    <w:name w:val="List Table 3"/>
    <w:basedOn w:val="Tablanormal"/>
    <w:uiPriority w:val="48"/>
    <w:rsid w:val="008A0779"/>
    <w:pPr>
      <w:spacing w:after="0" w:line="240" w:lineRule="auto"/>
    </w:pPr>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Mencinsinresolver">
    <w:name w:val="Unresolved Mention"/>
    <w:basedOn w:val="Fuentedeprrafopredeter"/>
    <w:uiPriority w:val="99"/>
    <w:semiHidden/>
    <w:unhideWhenUsed/>
    <w:rsid w:val="00437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en@supen.fi.cr"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tmp"/></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documenttasks/documenttasks1.xml><?xml version="1.0" encoding="utf-8"?>
<t:Tasks xmlns:t="http://schemas.microsoft.com/office/tasks/2019/documenttasks" xmlns:oel="http://schemas.microsoft.com/office/2019/extlst">
  <t:Task id="{74A46B76-22C1-4F11-9194-F6CEB0AC5BB7}">
    <t:Anchor>
      <t:Comment id="1978203986"/>
    </t:Anchor>
    <t:History>
      <t:Event id="{AE7AEEBF-F56A-4A07-99A3-114328F556DB}" time="2025-04-04T20:27:10.77Z">
        <t:Attribution userId="S::saenzqd@supen.fi.cr::6423c020-978d-4cec-8150-b1f88f93f254" userProvider="AD" userName="SAENZ QUESADA DANIEL"/>
        <t:Anchor>
          <t:Comment id="1978203986"/>
        </t:Anchor>
        <t:Create/>
      </t:Event>
      <t:Event id="{8B48FE65-059A-4B61-B44B-5378002FB3FF}" time="2025-04-04T20:27:10.77Z">
        <t:Attribution userId="S::saenzqd@supen.fi.cr::6423c020-978d-4cec-8150-b1f88f93f254" userProvider="AD" userName="SAENZ QUESADA DANIEL"/>
        <t:Anchor>
          <t:Comment id="1978203986"/>
        </t:Anchor>
        <t:Assign userId="S::cespedesld@supen.fi.cr::2d92d2a3-c347-46ab-94ba-9af2ecd2118d" userProvider="AD" userName="CESPEDES LOPEZ DAISY YORLENI"/>
      </t:Event>
      <t:Event id="{A060F210-EA1C-4A15-9F2F-E27CC932E581}" time="2025-04-04T20:27:10.77Z">
        <t:Attribution userId="S::saenzqd@supen.fi.cr::6423c020-978d-4cec-8150-b1f88f93f254" userProvider="AD" userName="SAENZ QUESADA DANIEL"/>
        <t:Anchor>
          <t:Comment id="1978203986"/>
        </t:Anchor>
        <t:SetTitle title="@CESPEDES LOPEZ DAISY YORLENI Daisy se puede modificar esta redacción de la siguiente manera? De acuerdo con el marco de supervisión y evaluación de riesgos y el Acuerdo SUPEN 5-17 Reglamento de Riesgos, el riesgo operativo es transversal a la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232E5"/>
    <w:rsid w:val="0009169D"/>
    <w:rsid w:val="0010271C"/>
    <w:rsid w:val="001B4880"/>
    <w:rsid w:val="0036247D"/>
    <w:rsid w:val="003F09B8"/>
    <w:rsid w:val="00410404"/>
    <w:rsid w:val="004F46CD"/>
    <w:rsid w:val="005614AD"/>
    <w:rsid w:val="0056727D"/>
    <w:rsid w:val="00636D35"/>
    <w:rsid w:val="00687377"/>
    <w:rsid w:val="007614E0"/>
    <w:rsid w:val="007B6489"/>
    <w:rsid w:val="00956933"/>
    <w:rsid w:val="009E4D73"/>
    <w:rsid w:val="00A30AAA"/>
    <w:rsid w:val="00BC0FFE"/>
    <w:rsid w:val="00C75170"/>
    <w:rsid w:val="00DE3C5E"/>
    <w:rsid w:val="00DF1A48"/>
    <w:rsid w:val="00EC410F"/>
    <w:rsid w:val="00F206B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e4dc6395420f99c60ac54ebabb7be09a">
  <xsd:schema xmlns:xsd="http://www.w3.org/2001/XMLSchema" xmlns:xs="http://www.w3.org/2001/XMLSchema" xmlns:p="http://schemas.microsoft.com/office/2006/metadata/properties" xmlns:ns2="6c2d2cf2-004b-47d1-b91d-f9a62dc21bae" targetNamespace="http://schemas.microsoft.com/office/2006/metadata/properties" ma:root="true" ma:fieldsID="3756512a502a76e20916996c5f77b178"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https://si.supen.fi.cr/Tramites/Tram_Detalle_Evento.aspx?evento=2025026133&amp;op=3</Url>
      <Description>2025026133</Description>
    </Ev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57A37-1961-47DD-930A-0DF74AD384D0}">
  <ds:schemaRefs>
    <ds:schemaRef ds:uri="http://schemas.microsoft.com/sharepoint/v3/contenttype/forms"/>
  </ds:schemaRefs>
</ds:datastoreItem>
</file>

<file path=customXml/itemProps2.xml><?xml version="1.0" encoding="utf-8"?>
<ds:datastoreItem xmlns:ds="http://schemas.openxmlformats.org/officeDocument/2006/customXml" ds:itemID="{CFC85BF0-466B-4FA0-ACAF-75E3C7892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451BD-6067-48EB-80C7-A07A167F2540}">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6c2d2cf2-004b-47d1-b91d-f9a62dc21ba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26</TotalTime>
  <Pages>6</Pages>
  <Words>2077</Words>
  <Characters>11693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AcuerdoRiesgoOperativo.docx</vt:lpstr>
    </vt:vector>
  </TitlesOfParts>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2025SPA290.docx</dc:title>
  <dc:subject/>
  <dc:creator>ROJAS VALVERDE DIEGO ANTONIO</dc:creator>
  <cp:keywords/>
  <dc:description/>
  <cp:lastModifiedBy>RODRIGUEZ BOVIERI GIANFRANCO</cp:lastModifiedBy>
  <cp:revision>2</cp:revision>
  <cp:lastPrinted>2016-11-07T18:19:00Z</cp:lastPrinted>
  <dcterms:created xsi:type="dcterms:W3CDTF">2025-12-10T16:16:00Z</dcterms:created>
  <dcterms:modified xsi:type="dcterms:W3CDTF">2025-12-10T16:16:00Z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44264215,355dd876,5ba975c9</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2024-12-16T21:20:08Z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f6e294f7-3775-462c-9bd4-6918f4f79ffb</vt:lpwstr>
  </property>
  <property fmtid="{D5CDD505-2E9C-101B-9397-08002B2CF9AE}" pid="12" name="MSIP_Label_b8b4be34-365a-4a68-b9fb-75c1b6874315_ContentBits">
    <vt:lpwstr>2</vt:lpwstr>
  </property>
  <property fmtid="{D5CDD505-2E9C-101B-9397-08002B2CF9AE}" pid="13" name="MediaServiceImageTags">
    <vt:lpwstr/>
  </property>
</Properties>
</file>